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A0090" w14:textId="2BE74D58" w:rsidR="00CA7C08" w:rsidRPr="00AF3616" w:rsidRDefault="00CA7C08" w:rsidP="00CA7C08">
      <w:pPr>
        <w:jc w:val="center"/>
        <w:rPr>
          <w:rFonts w:ascii="Arial" w:hAnsi="Arial" w:cs="Arial"/>
          <w:sz w:val="44"/>
        </w:rPr>
      </w:pPr>
      <w:r w:rsidRPr="00AF3616">
        <w:rPr>
          <w:rFonts w:ascii="Arial" w:hAnsi="Arial" w:cs="Arial"/>
          <w:sz w:val="44"/>
        </w:rPr>
        <w:t>(</w:t>
      </w:r>
      <w:r w:rsidR="00836770" w:rsidRPr="00AF3616">
        <w:rPr>
          <w:rFonts w:ascii="Arial" w:hAnsi="Arial" w:cs="Arial"/>
          <w:sz w:val="44"/>
        </w:rPr>
        <w:t xml:space="preserve">Joint Policy for Section 117 </w:t>
      </w:r>
      <w:r w:rsidR="00815A8D" w:rsidRPr="00AF3616">
        <w:rPr>
          <w:rFonts w:ascii="Arial" w:hAnsi="Arial" w:cs="Arial"/>
          <w:sz w:val="44"/>
        </w:rPr>
        <w:t>Mental Health Act</w:t>
      </w:r>
      <w:r w:rsidR="009931EF" w:rsidRPr="00AF3616">
        <w:rPr>
          <w:rFonts w:ascii="Arial" w:hAnsi="Arial" w:cs="Arial"/>
          <w:sz w:val="44"/>
        </w:rPr>
        <w:t xml:space="preserve"> 1983 - </w:t>
      </w:r>
      <w:r w:rsidR="00836770" w:rsidRPr="00AF3616">
        <w:rPr>
          <w:rFonts w:ascii="Arial" w:hAnsi="Arial" w:cs="Arial"/>
          <w:sz w:val="44"/>
        </w:rPr>
        <w:t xml:space="preserve">Aftercare </w:t>
      </w:r>
      <w:r w:rsidR="00444A56">
        <w:rPr>
          <w:rFonts w:ascii="Arial" w:hAnsi="Arial" w:cs="Arial"/>
          <w:sz w:val="44"/>
        </w:rPr>
        <w:t>A</w:t>
      </w:r>
      <w:r w:rsidR="00836770" w:rsidRPr="00AF3616">
        <w:rPr>
          <w:rFonts w:ascii="Arial" w:hAnsi="Arial" w:cs="Arial"/>
          <w:sz w:val="44"/>
        </w:rPr>
        <w:t>rrangements</w:t>
      </w:r>
      <w:r w:rsidRPr="00AF3616">
        <w:rPr>
          <w:rFonts w:ascii="Arial" w:hAnsi="Arial" w:cs="Arial"/>
          <w:sz w:val="44"/>
        </w:rPr>
        <w:t>)</w:t>
      </w:r>
    </w:p>
    <w:tbl>
      <w:tblPr>
        <w:tblStyle w:val="TableGrid"/>
        <w:tblW w:w="92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67"/>
        <w:gridCol w:w="5042"/>
      </w:tblGrid>
      <w:tr w:rsidR="0055289E" w:rsidRPr="00AF3616" w14:paraId="66A81A89" w14:textId="77777777" w:rsidTr="00274505">
        <w:tc>
          <w:tcPr>
            <w:tcW w:w="4167" w:type="dxa"/>
            <w:shd w:val="clear" w:color="auto" w:fill="1F4E79" w:themeFill="accent1" w:themeFillShade="80"/>
          </w:tcPr>
          <w:p w14:paraId="01DB6CF7" w14:textId="362E5130" w:rsidR="0055289E" w:rsidRPr="00AF3616" w:rsidRDefault="0055289E" w:rsidP="0055289E">
            <w:pPr>
              <w:rPr>
                <w:rFonts w:ascii="Arial" w:hAnsi="Arial" w:cs="Arial"/>
                <w:b/>
                <w:color w:val="BF8F00" w:themeColor="accent4" w:themeShade="BF"/>
              </w:rPr>
            </w:pPr>
            <w:r w:rsidRPr="00AF3616">
              <w:rPr>
                <w:rFonts w:ascii="Arial" w:hAnsi="Arial" w:cs="Arial"/>
                <w:b/>
                <w:color w:val="BF8F00" w:themeColor="accent4" w:themeShade="BF"/>
              </w:rPr>
              <w:t>Document Type:</w:t>
            </w:r>
          </w:p>
        </w:tc>
        <w:tc>
          <w:tcPr>
            <w:tcW w:w="5042" w:type="dxa"/>
          </w:tcPr>
          <w:sdt>
            <w:sdtPr>
              <w:rPr>
                <w:rFonts w:ascii="Arial" w:hAnsi="Arial" w:cs="Arial"/>
              </w:rPr>
              <w:id w:val="-1314792489"/>
              <w:placeholder>
                <w:docPart w:val="C1EB571504C846E399EFB7583B4A4DEF"/>
              </w:placeholder>
              <w:dropDownList>
                <w:listItem w:value="Choose an item."/>
                <w:listItem w:displayText="Non Clinical Organisational Wide Policy" w:value="Non Clinical Organisational Wide Policy"/>
                <w:listItem w:displayText="Clinical Policy" w:value="Clinical Policy"/>
                <w:listItem w:displayText="MMEC Policy" w:value="MMEC Policy"/>
                <w:listItem w:displayText="Non Clinical Procedure" w:value="Non Clinical Procedure"/>
                <w:listItem w:displayText="Clinical Procedure" w:value="Clinical Procedure"/>
                <w:listItem w:displayText="Clinical Guidelines" w:value="Clinical Guidelines"/>
                <w:listItem w:displayText="Clinical Standard Operating Procedure" w:value="Clinical Standard Operating Procedure"/>
                <w:listItem w:displayText="Non Clinical Standard Operating Procedure" w:value="Non Clinical Standard Operating Procedure"/>
              </w:dropDownList>
            </w:sdtPr>
            <w:sdtEndPr/>
            <w:sdtContent>
              <w:p w14:paraId="59EFFC1F" w14:textId="70AA5D7A" w:rsidR="0055289E" w:rsidRPr="00AF3616" w:rsidRDefault="003B1AEB" w:rsidP="0055289E">
                <w:pPr>
                  <w:rPr>
                    <w:rFonts w:ascii="Arial" w:hAnsi="Arial" w:cs="Arial"/>
                  </w:rPr>
                </w:pPr>
                <w:r w:rsidRPr="00AF3616">
                  <w:rPr>
                    <w:rFonts w:ascii="Arial" w:hAnsi="Arial" w:cs="Arial"/>
                  </w:rPr>
                  <w:t>Non Clinical Procedure</w:t>
                </w:r>
              </w:p>
            </w:sdtContent>
          </w:sdt>
        </w:tc>
      </w:tr>
      <w:tr w:rsidR="00CA7C08" w:rsidRPr="00AF3616" w14:paraId="56798141" w14:textId="77777777" w:rsidTr="00274505">
        <w:tc>
          <w:tcPr>
            <w:tcW w:w="4167" w:type="dxa"/>
            <w:shd w:val="clear" w:color="auto" w:fill="1F4E79" w:themeFill="accent1" w:themeFillShade="80"/>
          </w:tcPr>
          <w:p w14:paraId="52445B71" w14:textId="77777777" w:rsidR="00CA7C08" w:rsidRPr="00AF3616" w:rsidRDefault="00CA7C08" w:rsidP="0055289E">
            <w:pPr>
              <w:rPr>
                <w:rFonts w:ascii="Arial" w:hAnsi="Arial" w:cs="Arial"/>
                <w:b/>
                <w:color w:val="BF8F00" w:themeColor="accent4" w:themeShade="BF"/>
              </w:rPr>
            </w:pPr>
            <w:r w:rsidRPr="00AF3616">
              <w:rPr>
                <w:rFonts w:ascii="Arial" w:hAnsi="Arial" w:cs="Arial"/>
                <w:b/>
                <w:color w:val="BF8F00" w:themeColor="accent4" w:themeShade="BF"/>
              </w:rPr>
              <w:t>Ref:</w:t>
            </w:r>
          </w:p>
        </w:tc>
        <w:tc>
          <w:tcPr>
            <w:tcW w:w="5042" w:type="dxa"/>
          </w:tcPr>
          <w:p w14:paraId="2374E4C8" w14:textId="76A38CF3" w:rsidR="00D86F27" w:rsidRPr="00AF3616" w:rsidRDefault="00B76502" w:rsidP="0055289E">
            <w:pPr>
              <w:rPr>
                <w:rFonts w:ascii="Arial" w:hAnsi="Arial" w:cs="Arial"/>
                <w:color w:val="0563C1" w:themeColor="hyperlink"/>
                <w:u w:val="single"/>
              </w:rPr>
            </w:pPr>
            <w:r w:rsidRPr="00AF3616">
              <w:rPr>
                <w:rFonts w:ascii="Arial" w:hAnsi="Arial" w:cs="Arial"/>
              </w:rPr>
              <w:t>MH</w:t>
            </w:r>
            <w:r w:rsidR="001B0809" w:rsidRPr="00AF3616">
              <w:rPr>
                <w:rFonts w:ascii="Arial" w:hAnsi="Arial" w:cs="Arial"/>
              </w:rPr>
              <w:t>A</w:t>
            </w:r>
            <w:r w:rsidRPr="00AF3616">
              <w:rPr>
                <w:rFonts w:ascii="Arial" w:hAnsi="Arial" w:cs="Arial"/>
              </w:rPr>
              <w:t>117</w:t>
            </w:r>
          </w:p>
        </w:tc>
      </w:tr>
      <w:tr w:rsidR="00CA7C08" w:rsidRPr="00AF3616" w14:paraId="5825FF4E" w14:textId="77777777" w:rsidTr="00274505">
        <w:tc>
          <w:tcPr>
            <w:tcW w:w="4167" w:type="dxa"/>
            <w:shd w:val="clear" w:color="auto" w:fill="1F4E79" w:themeFill="accent1" w:themeFillShade="80"/>
          </w:tcPr>
          <w:p w14:paraId="0E608816" w14:textId="151819E2" w:rsidR="00CA7C08" w:rsidRPr="00AF3616" w:rsidRDefault="00CA7C08" w:rsidP="0055289E">
            <w:pPr>
              <w:rPr>
                <w:rFonts w:ascii="Arial" w:hAnsi="Arial" w:cs="Arial"/>
                <w:b/>
                <w:color w:val="BF8F00" w:themeColor="accent4" w:themeShade="BF"/>
              </w:rPr>
            </w:pPr>
            <w:r w:rsidRPr="00AF3616">
              <w:rPr>
                <w:rFonts w:ascii="Arial" w:hAnsi="Arial" w:cs="Arial"/>
                <w:b/>
                <w:color w:val="BF8F00" w:themeColor="accent4" w:themeShade="BF"/>
              </w:rPr>
              <w:t>Author:</w:t>
            </w:r>
          </w:p>
        </w:tc>
        <w:tc>
          <w:tcPr>
            <w:tcW w:w="5042" w:type="dxa"/>
          </w:tcPr>
          <w:p w14:paraId="285175EE" w14:textId="615C5DBA" w:rsidR="0055289E" w:rsidRPr="00AF3616" w:rsidRDefault="002004DA" w:rsidP="0055289E">
            <w:pPr>
              <w:rPr>
                <w:rFonts w:ascii="Arial" w:hAnsi="Arial" w:cs="Arial"/>
              </w:rPr>
            </w:pPr>
            <w:r w:rsidRPr="00AF3616">
              <w:rPr>
                <w:rFonts w:ascii="Arial" w:hAnsi="Arial" w:cs="Arial"/>
              </w:rPr>
              <w:t>Jeremy Burgwyn – Mental Health Act Team Leader</w:t>
            </w:r>
            <w:r w:rsidR="00D86F27" w:rsidRPr="00AF3616">
              <w:rPr>
                <w:rFonts w:ascii="Arial" w:hAnsi="Arial" w:cs="Arial"/>
              </w:rPr>
              <w:t xml:space="preserve"> </w:t>
            </w:r>
          </w:p>
        </w:tc>
      </w:tr>
      <w:tr w:rsidR="00CA7C08" w:rsidRPr="00AF3616" w14:paraId="35AD6DE2" w14:textId="77777777" w:rsidTr="00274505">
        <w:tc>
          <w:tcPr>
            <w:tcW w:w="4167" w:type="dxa"/>
            <w:shd w:val="clear" w:color="auto" w:fill="1F4E79" w:themeFill="accent1" w:themeFillShade="80"/>
          </w:tcPr>
          <w:p w14:paraId="44C036FE" w14:textId="77777777" w:rsidR="00CA7C08" w:rsidRPr="00AF3616" w:rsidRDefault="00CA7C08" w:rsidP="0055289E">
            <w:pPr>
              <w:rPr>
                <w:rFonts w:ascii="Arial" w:hAnsi="Arial" w:cs="Arial"/>
                <w:b/>
                <w:color w:val="BF8F00" w:themeColor="accent4" w:themeShade="BF"/>
              </w:rPr>
            </w:pPr>
            <w:r w:rsidRPr="00AF3616">
              <w:rPr>
                <w:rFonts w:ascii="Arial" w:hAnsi="Arial" w:cs="Arial"/>
                <w:b/>
                <w:color w:val="BF8F00" w:themeColor="accent4" w:themeShade="BF"/>
              </w:rPr>
              <w:t>Executive Sponsor:</w:t>
            </w:r>
          </w:p>
        </w:tc>
        <w:tc>
          <w:tcPr>
            <w:tcW w:w="5042" w:type="dxa"/>
          </w:tcPr>
          <w:sdt>
            <w:sdtPr>
              <w:rPr>
                <w:rFonts w:ascii="Arial" w:hAnsi="Arial" w:cs="Arial"/>
              </w:rPr>
              <w:id w:val="-796220206"/>
              <w:placeholder>
                <w:docPart w:val="00C928375EDA4AC18AE418B8B6F234BF"/>
              </w:placeholder>
              <w:dropDownList>
                <w:listItem w:value="Choose an item."/>
                <w:listItem w:displayText="Chief Executive" w:value="Chief Executive"/>
                <w:listItem w:displayText="Executive Medical Director" w:value="Executive Medical Director"/>
                <w:listItem w:displayText="Executive Director of Finance &amp; Procurement" w:value="Executive Director of Finance &amp; Procurement"/>
                <w:listItem w:displayText="Executive Director of Workforce &amp; Organisational Development" w:value="Executive Director of Workforce &amp; Organisational Development"/>
                <w:listItem w:displayText="Executive Director of Operations" w:value="Executive Director of Operations"/>
                <w:listItem w:displayText="Director of Corporate Governance" w:value="Director of Corporate Governance"/>
                <w:listItem w:displayText="Executive Director of Planning, Perfomrance &amp; ICT" w:value="Executive Director of Planning, Perfomrance &amp; ICT"/>
                <w:listItem w:displayText="Executive Nurse Director" w:value="Executive Nurse Director"/>
                <w:listItem w:displayText="Executive Director of Public Health" w:value="Executive Director of Public Health"/>
              </w:dropDownList>
            </w:sdtPr>
            <w:sdtEndPr/>
            <w:sdtContent>
              <w:p w14:paraId="1D0A7815" w14:textId="0A8480DD" w:rsidR="0055289E" w:rsidRPr="00AF3616" w:rsidRDefault="00F113F1" w:rsidP="0055289E">
                <w:pPr>
                  <w:rPr>
                    <w:rFonts w:ascii="Arial" w:hAnsi="Arial" w:cs="Arial"/>
                  </w:rPr>
                </w:pPr>
                <w:r>
                  <w:rPr>
                    <w:rFonts w:ascii="Arial" w:hAnsi="Arial" w:cs="Arial"/>
                  </w:rPr>
                  <w:t>Executive Medical Director</w:t>
                </w:r>
              </w:p>
            </w:sdtContent>
          </w:sdt>
        </w:tc>
      </w:tr>
      <w:tr w:rsidR="00274505" w:rsidRPr="00AF3616" w14:paraId="2C72E0EF" w14:textId="77777777" w:rsidTr="00274505">
        <w:tc>
          <w:tcPr>
            <w:tcW w:w="4167" w:type="dxa"/>
            <w:shd w:val="clear" w:color="auto" w:fill="1F4E79" w:themeFill="accent1" w:themeFillShade="80"/>
          </w:tcPr>
          <w:p w14:paraId="6991E474" w14:textId="1A18DA79" w:rsidR="00274505" w:rsidRPr="00AF3616" w:rsidRDefault="00274505" w:rsidP="0055289E">
            <w:pPr>
              <w:rPr>
                <w:rFonts w:ascii="Arial" w:hAnsi="Arial" w:cs="Arial"/>
                <w:b/>
                <w:color w:val="BF8F00" w:themeColor="accent4" w:themeShade="BF"/>
              </w:rPr>
            </w:pPr>
            <w:r w:rsidRPr="00AF3616">
              <w:rPr>
                <w:rFonts w:ascii="Arial" w:hAnsi="Arial" w:cs="Arial"/>
                <w:b/>
                <w:color w:val="BF8F00" w:themeColor="accent4" w:themeShade="BF"/>
              </w:rPr>
              <w:t xml:space="preserve">Approved </w:t>
            </w:r>
            <w:r w:rsidR="00132399" w:rsidRPr="00AF3616">
              <w:rPr>
                <w:rFonts w:ascii="Arial" w:hAnsi="Arial" w:cs="Arial"/>
                <w:b/>
                <w:color w:val="BF8F00" w:themeColor="accent4" w:themeShade="BF"/>
              </w:rPr>
              <w:t>By</w:t>
            </w:r>
            <w:r w:rsidRPr="00AF3616">
              <w:rPr>
                <w:rFonts w:ascii="Arial" w:hAnsi="Arial" w:cs="Arial"/>
                <w:b/>
                <w:color w:val="BF8F00" w:themeColor="accent4" w:themeShade="BF"/>
              </w:rPr>
              <w:t>:</w:t>
            </w:r>
          </w:p>
        </w:tc>
        <w:sdt>
          <w:sdtPr>
            <w:rPr>
              <w:rFonts w:ascii="Arial" w:hAnsi="Arial" w:cs="Arial"/>
              <w:b/>
            </w:rPr>
            <w:id w:val="789627744"/>
            <w:placeholder>
              <w:docPart w:val="DefaultPlaceholder_1081868575"/>
            </w:placeholder>
            <w:dropDownList>
              <w:listItem w:value="Choose an item."/>
              <w:listItem w:displayText="Health Board" w:value="Health Board"/>
              <w:listItem w:displayText="Quality &amp; Safety Committee" w:value="Quality &amp; Safety Committee"/>
              <w:listItem w:displayText="Audit &amp; Risk Committee" w:value="Audit &amp; Risk Committee"/>
              <w:listItem w:displayText="Planning, Performance &amp; Finance Committee" w:value="Planning, Performance &amp; Finance Committee"/>
              <w:listItem w:displayText="Digital &amp; Data Committee " w:value="Digital &amp; Data Committee "/>
              <w:listItem w:displayText="Charitable Funds Committee" w:value="Charitable Funds Committee"/>
              <w:listItem w:displayText="People &amp; Culture Committee" w:value="People &amp; Culture Committee"/>
              <w:listItem w:displayText="Primary Care &amp; Population Health Committee" w:value="Primary Care &amp; Population Health Committee"/>
              <w:listItem w:displayText="Mental Health Monitoring Act Committee" w:value="Mental Health Monitoring Act Committee"/>
              <w:listItem w:displayText="Management Board ( Non Clinical Procedures Only)" w:value="Management Board ( Non Clinical Procedures Only)"/>
              <w:listItem w:displayText="Clinical Policy Group (Clinical Procedures, Guidelines Only)" w:value="Clinical Policy Group (Clinical Procedures, Guidelines Only)"/>
              <w:listItem w:displayText="Medicines Management Expenditure Committee (Procedures, SOPs and Guidance Only)" w:value="Medicines Management Expenditure Committee (Procedures, SOPs and Guidance Only)"/>
            </w:dropDownList>
          </w:sdtPr>
          <w:sdtEndPr/>
          <w:sdtContent>
            <w:tc>
              <w:tcPr>
                <w:tcW w:w="5042" w:type="dxa"/>
              </w:tcPr>
              <w:p w14:paraId="1CF63599" w14:textId="1059A565" w:rsidR="00274505" w:rsidRPr="00AF3616" w:rsidRDefault="00C903B0" w:rsidP="0055289E">
                <w:pPr>
                  <w:rPr>
                    <w:rFonts w:ascii="Arial" w:hAnsi="Arial" w:cs="Arial"/>
                    <w:b/>
                  </w:rPr>
                </w:pPr>
                <w:r w:rsidRPr="00AF3616">
                  <w:rPr>
                    <w:rFonts w:ascii="Arial" w:hAnsi="Arial" w:cs="Arial"/>
                    <w:b/>
                  </w:rPr>
                  <w:t>Mental Health Monitoring Act Committee</w:t>
                </w:r>
              </w:p>
            </w:tc>
          </w:sdtContent>
        </w:sdt>
      </w:tr>
      <w:tr w:rsidR="00274505" w:rsidRPr="00AF3616" w14:paraId="6FEC5896" w14:textId="77777777" w:rsidTr="00330B24">
        <w:tc>
          <w:tcPr>
            <w:tcW w:w="4167" w:type="dxa"/>
            <w:shd w:val="clear" w:color="auto" w:fill="1F4E79" w:themeFill="accent1" w:themeFillShade="80"/>
          </w:tcPr>
          <w:p w14:paraId="204A878D" w14:textId="77777777" w:rsidR="00274505" w:rsidRPr="00AF3616" w:rsidRDefault="00274505" w:rsidP="00330B24">
            <w:pPr>
              <w:rPr>
                <w:rFonts w:ascii="Arial" w:hAnsi="Arial" w:cs="Arial"/>
                <w:b/>
                <w:color w:val="BF8F00" w:themeColor="accent4" w:themeShade="BF"/>
              </w:rPr>
            </w:pPr>
            <w:r w:rsidRPr="00AF3616">
              <w:rPr>
                <w:rFonts w:ascii="Arial" w:hAnsi="Arial" w:cs="Arial"/>
                <w:b/>
                <w:color w:val="BF8F00" w:themeColor="accent4" w:themeShade="BF"/>
              </w:rPr>
              <w:t>Approval / Effective Date:</w:t>
            </w:r>
          </w:p>
        </w:tc>
        <w:tc>
          <w:tcPr>
            <w:tcW w:w="5042" w:type="dxa"/>
          </w:tcPr>
          <w:p w14:paraId="14C54B74" w14:textId="44F06798" w:rsidR="00274505" w:rsidRPr="00AF3616" w:rsidRDefault="00F113F1" w:rsidP="00330B24">
            <w:pPr>
              <w:rPr>
                <w:rFonts w:ascii="Arial" w:hAnsi="Arial" w:cs="Arial"/>
              </w:rPr>
            </w:pPr>
            <w:r>
              <w:rPr>
                <w:rFonts w:ascii="Arial" w:hAnsi="Arial" w:cs="Arial"/>
              </w:rPr>
              <w:t>04/12/2023</w:t>
            </w:r>
          </w:p>
        </w:tc>
      </w:tr>
      <w:tr w:rsidR="00CA7C08" w:rsidRPr="00AF3616" w14:paraId="5E7A2721" w14:textId="77777777" w:rsidTr="00274505">
        <w:tc>
          <w:tcPr>
            <w:tcW w:w="4167" w:type="dxa"/>
            <w:shd w:val="clear" w:color="auto" w:fill="1F4E79" w:themeFill="accent1" w:themeFillShade="80"/>
          </w:tcPr>
          <w:p w14:paraId="574B55F3" w14:textId="77777777" w:rsidR="00CA7C08" w:rsidRPr="00AF3616" w:rsidRDefault="00CA7C08" w:rsidP="0055289E">
            <w:pPr>
              <w:rPr>
                <w:rFonts w:ascii="Arial" w:hAnsi="Arial" w:cs="Arial"/>
                <w:b/>
                <w:color w:val="BF8F00" w:themeColor="accent4" w:themeShade="BF"/>
              </w:rPr>
            </w:pPr>
            <w:r w:rsidRPr="00AF3616">
              <w:rPr>
                <w:rFonts w:ascii="Arial" w:hAnsi="Arial" w:cs="Arial"/>
                <w:b/>
                <w:color w:val="BF8F00" w:themeColor="accent4" w:themeShade="BF"/>
              </w:rPr>
              <w:t>Review Date:</w:t>
            </w:r>
          </w:p>
        </w:tc>
        <w:tc>
          <w:tcPr>
            <w:tcW w:w="5042" w:type="dxa"/>
          </w:tcPr>
          <w:p w14:paraId="002D21E6" w14:textId="3BAE86D1" w:rsidR="0055289E" w:rsidRPr="00AF3616" w:rsidRDefault="00F113F1" w:rsidP="0055289E">
            <w:pPr>
              <w:rPr>
                <w:rFonts w:ascii="Arial" w:hAnsi="Arial" w:cs="Arial"/>
              </w:rPr>
            </w:pPr>
            <w:r>
              <w:rPr>
                <w:rFonts w:ascii="Arial" w:hAnsi="Arial" w:cs="Arial"/>
              </w:rPr>
              <w:t>04/12/2026</w:t>
            </w:r>
            <w:r w:rsidR="00274505" w:rsidRPr="00AF3616">
              <w:rPr>
                <w:rFonts w:ascii="Arial" w:hAnsi="Arial" w:cs="Arial"/>
              </w:rPr>
              <w:t xml:space="preserve"> </w:t>
            </w:r>
          </w:p>
        </w:tc>
      </w:tr>
      <w:tr w:rsidR="00CA7C08" w:rsidRPr="00AF3616" w14:paraId="5702687E" w14:textId="77777777" w:rsidTr="00274505">
        <w:tc>
          <w:tcPr>
            <w:tcW w:w="4167" w:type="dxa"/>
            <w:shd w:val="clear" w:color="auto" w:fill="1F4E79" w:themeFill="accent1" w:themeFillShade="80"/>
          </w:tcPr>
          <w:p w14:paraId="0F3C0E23" w14:textId="77777777" w:rsidR="00CA7C08" w:rsidRPr="00AF3616" w:rsidRDefault="00CA7C08" w:rsidP="0055289E">
            <w:pPr>
              <w:rPr>
                <w:rFonts w:ascii="Arial" w:hAnsi="Arial" w:cs="Arial"/>
                <w:b/>
                <w:color w:val="BF8F00" w:themeColor="accent4" w:themeShade="BF"/>
              </w:rPr>
            </w:pPr>
            <w:r w:rsidRPr="00AF3616">
              <w:rPr>
                <w:rFonts w:ascii="Arial" w:hAnsi="Arial" w:cs="Arial"/>
                <w:b/>
                <w:color w:val="BF8F00" w:themeColor="accent4" w:themeShade="BF"/>
              </w:rPr>
              <w:t>Version:</w:t>
            </w:r>
          </w:p>
        </w:tc>
        <w:tc>
          <w:tcPr>
            <w:tcW w:w="5042" w:type="dxa"/>
          </w:tcPr>
          <w:p w14:paraId="0DF6FADB" w14:textId="7B6341D5" w:rsidR="00274505" w:rsidRPr="00AF3616" w:rsidRDefault="001B0809" w:rsidP="0055289E">
            <w:pPr>
              <w:rPr>
                <w:rFonts w:ascii="Arial" w:hAnsi="Arial" w:cs="Arial"/>
              </w:rPr>
            </w:pPr>
            <w:r w:rsidRPr="00AF3616">
              <w:rPr>
                <w:rFonts w:ascii="Arial" w:hAnsi="Arial" w:cs="Arial"/>
              </w:rPr>
              <w:t>4</w:t>
            </w:r>
          </w:p>
        </w:tc>
      </w:tr>
    </w:tbl>
    <w:p w14:paraId="126F87D0" w14:textId="77777777" w:rsidR="00CA7C08" w:rsidRPr="00AF3616" w:rsidRDefault="00CA7C08" w:rsidP="00CA7C08">
      <w:pPr>
        <w:pStyle w:val="NoSpacing"/>
        <w:rPr>
          <w:rFonts w:ascii="Arial" w:hAnsi="Arial" w:cs="Arial"/>
        </w:rPr>
      </w:pPr>
    </w:p>
    <w:p w14:paraId="5BB9E877" w14:textId="77777777" w:rsidR="00CA7C08" w:rsidRPr="00AF3616" w:rsidRDefault="00CA7C08" w:rsidP="00CA7C08">
      <w:pPr>
        <w:rPr>
          <w:rFonts w:ascii="Arial" w:hAnsi="Arial" w:cs="Arial"/>
          <w:b/>
        </w:rPr>
      </w:pPr>
      <w:r w:rsidRPr="00AF3616">
        <w:rPr>
          <w:rFonts w:ascii="Arial" w:hAnsi="Arial" w:cs="Arial"/>
          <w:b/>
        </w:rPr>
        <w:t>Target Audience:</w:t>
      </w:r>
    </w:p>
    <w:tbl>
      <w:tblPr>
        <w:tblStyle w:val="TableGrid"/>
        <w:tblW w:w="92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73"/>
        <w:gridCol w:w="4536"/>
      </w:tblGrid>
      <w:tr w:rsidR="00CA7C08" w:rsidRPr="00AF3616" w14:paraId="78A20989" w14:textId="77777777" w:rsidTr="00C83F4F">
        <w:tc>
          <w:tcPr>
            <w:tcW w:w="4673" w:type="dxa"/>
            <w:shd w:val="clear" w:color="auto" w:fill="1F4E79" w:themeFill="accent1" w:themeFillShade="80"/>
          </w:tcPr>
          <w:p w14:paraId="0617F606" w14:textId="47F4F8B0" w:rsidR="00CA7C08" w:rsidRPr="00AF3616" w:rsidRDefault="00CA7C08" w:rsidP="00C83F4F">
            <w:pPr>
              <w:rPr>
                <w:rFonts w:ascii="Arial" w:hAnsi="Arial" w:cs="Arial"/>
                <w:b/>
                <w:color w:val="BF8F00" w:themeColor="accent4" w:themeShade="BF"/>
              </w:rPr>
            </w:pPr>
            <w:r w:rsidRPr="00AF3616">
              <w:rPr>
                <w:rFonts w:ascii="Arial" w:hAnsi="Arial" w:cs="Arial"/>
                <w:b/>
                <w:color w:val="BF8F00" w:themeColor="accent4" w:themeShade="BF"/>
              </w:rPr>
              <w:t xml:space="preserve">People who need to </w:t>
            </w:r>
            <w:r w:rsidR="006E389A" w:rsidRPr="00AF3616">
              <w:rPr>
                <w:rFonts w:ascii="Arial" w:hAnsi="Arial" w:cs="Arial"/>
                <w:b/>
                <w:color w:val="BF8F00" w:themeColor="accent4" w:themeShade="BF"/>
              </w:rPr>
              <w:t xml:space="preserve">know about </w:t>
            </w:r>
            <w:r w:rsidRPr="00AF3616">
              <w:rPr>
                <w:rFonts w:ascii="Arial" w:hAnsi="Arial" w:cs="Arial"/>
                <w:b/>
                <w:color w:val="BF8F00" w:themeColor="accent4" w:themeShade="BF"/>
              </w:rPr>
              <w:t>this document in detail</w:t>
            </w:r>
          </w:p>
        </w:tc>
        <w:tc>
          <w:tcPr>
            <w:tcW w:w="4536" w:type="dxa"/>
          </w:tcPr>
          <w:p w14:paraId="275014CD" w14:textId="77777777" w:rsidR="00CA7C08" w:rsidRPr="00AF3616" w:rsidRDefault="00FA3833" w:rsidP="00C83F4F">
            <w:pPr>
              <w:jc w:val="both"/>
              <w:rPr>
                <w:rFonts w:ascii="Arial" w:hAnsi="Arial" w:cs="Arial"/>
              </w:rPr>
            </w:pPr>
            <w:r w:rsidRPr="00AF3616">
              <w:rPr>
                <w:rFonts w:ascii="Arial" w:hAnsi="Arial" w:cs="Arial"/>
              </w:rPr>
              <w:t>Author/Owners of thi</w:t>
            </w:r>
            <w:r w:rsidR="00551932" w:rsidRPr="00AF3616">
              <w:rPr>
                <w:rFonts w:ascii="Arial" w:hAnsi="Arial" w:cs="Arial"/>
              </w:rPr>
              <w:t>s procedure</w:t>
            </w:r>
          </w:p>
          <w:p w14:paraId="60460105" w14:textId="0158D912" w:rsidR="00D11307" w:rsidRPr="00AF3616" w:rsidRDefault="00D11307" w:rsidP="00C83F4F">
            <w:pPr>
              <w:jc w:val="both"/>
              <w:rPr>
                <w:rFonts w:ascii="Arial" w:hAnsi="Arial" w:cs="Arial"/>
              </w:rPr>
            </w:pPr>
            <w:r w:rsidRPr="00AF3616">
              <w:rPr>
                <w:rFonts w:ascii="Arial" w:hAnsi="Arial" w:cs="Arial"/>
              </w:rPr>
              <w:t>A</w:t>
            </w:r>
            <w:r w:rsidR="00EF1720">
              <w:rPr>
                <w:rFonts w:ascii="Arial" w:hAnsi="Arial" w:cs="Arial"/>
              </w:rPr>
              <w:t xml:space="preserve">pproved Mental Health Professional </w:t>
            </w:r>
            <w:r w:rsidRPr="00AF3616">
              <w:rPr>
                <w:rFonts w:ascii="Arial" w:hAnsi="Arial" w:cs="Arial"/>
              </w:rPr>
              <w:t>Team Leaders for Merthyr, Rhondda Cynon Taf and Bridgend Social Services</w:t>
            </w:r>
            <w:r w:rsidR="00BF1887">
              <w:rPr>
                <w:rFonts w:ascii="Arial" w:hAnsi="Arial" w:cs="Arial"/>
              </w:rPr>
              <w:t>, Head</w:t>
            </w:r>
            <w:r w:rsidR="002156F2">
              <w:rPr>
                <w:rFonts w:ascii="Arial" w:hAnsi="Arial" w:cs="Arial"/>
              </w:rPr>
              <w:t xml:space="preserve"> of Commissioning for Mental Health &amp; Learning Disabilities</w:t>
            </w:r>
          </w:p>
        </w:tc>
      </w:tr>
      <w:tr w:rsidR="00CA7C08" w:rsidRPr="00AF3616" w14:paraId="12AFFA92" w14:textId="77777777" w:rsidTr="00C83F4F">
        <w:tc>
          <w:tcPr>
            <w:tcW w:w="4673" w:type="dxa"/>
            <w:shd w:val="clear" w:color="auto" w:fill="1F4E79" w:themeFill="accent1" w:themeFillShade="80"/>
          </w:tcPr>
          <w:p w14:paraId="7B54BC1C" w14:textId="77777777" w:rsidR="00CA7C08" w:rsidRPr="00AF3616" w:rsidRDefault="00CA7C08" w:rsidP="00C83F4F">
            <w:pPr>
              <w:rPr>
                <w:rFonts w:ascii="Arial" w:hAnsi="Arial" w:cs="Arial"/>
                <w:b/>
                <w:color w:val="BF8F00" w:themeColor="accent4" w:themeShade="BF"/>
              </w:rPr>
            </w:pPr>
            <w:r w:rsidRPr="00AF3616">
              <w:rPr>
                <w:rFonts w:ascii="Arial" w:hAnsi="Arial" w:cs="Arial"/>
                <w:b/>
                <w:color w:val="BF8F00" w:themeColor="accent4" w:themeShade="BF"/>
              </w:rPr>
              <w:t xml:space="preserve">People who need to have a broad understanding of this document </w:t>
            </w:r>
          </w:p>
          <w:p w14:paraId="7CC17B60" w14:textId="77777777" w:rsidR="00CA7C08" w:rsidRPr="00AF3616" w:rsidRDefault="00CA7C08" w:rsidP="00C83F4F">
            <w:pPr>
              <w:rPr>
                <w:rFonts w:ascii="Arial" w:hAnsi="Arial" w:cs="Arial"/>
                <w:b/>
                <w:color w:val="BF8F00" w:themeColor="accent4" w:themeShade="BF"/>
              </w:rPr>
            </w:pPr>
          </w:p>
        </w:tc>
        <w:tc>
          <w:tcPr>
            <w:tcW w:w="4536" w:type="dxa"/>
          </w:tcPr>
          <w:p w14:paraId="25A6FFCC" w14:textId="13DDB591" w:rsidR="00CA7C08" w:rsidRPr="00AF3616" w:rsidRDefault="00274505" w:rsidP="00C83F4F">
            <w:pPr>
              <w:jc w:val="both"/>
              <w:rPr>
                <w:rFonts w:ascii="Arial" w:hAnsi="Arial" w:cs="Arial"/>
                <w:i/>
              </w:rPr>
            </w:pPr>
            <w:r w:rsidRPr="00AF3616">
              <w:rPr>
                <w:rFonts w:ascii="Arial" w:hAnsi="Arial" w:cs="Arial"/>
              </w:rPr>
              <w:t>Board Members, Management Board</w:t>
            </w:r>
            <w:r w:rsidR="00A86FB6" w:rsidRPr="00AF3616">
              <w:rPr>
                <w:rFonts w:ascii="Arial" w:hAnsi="Arial" w:cs="Arial"/>
              </w:rPr>
              <w:t>, Clinical Service Group Managers,</w:t>
            </w:r>
            <w:r w:rsidR="006F3BFD" w:rsidRPr="00AF3616">
              <w:rPr>
                <w:rFonts w:ascii="Arial" w:hAnsi="Arial" w:cs="Arial"/>
              </w:rPr>
              <w:t xml:space="preserve"> Social Workers,</w:t>
            </w:r>
            <w:r w:rsidRPr="00AF3616">
              <w:rPr>
                <w:rFonts w:ascii="Arial" w:hAnsi="Arial" w:cs="Arial"/>
              </w:rPr>
              <w:t xml:space="preserve"> Senior </w:t>
            </w:r>
            <w:r w:rsidR="00A86FB6" w:rsidRPr="00AF3616">
              <w:rPr>
                <w:rFonts w:ascii="Arial" w:hAnsi="Arial" w:cs="Arial"/>
              </w:rPr>
              <w:t>Nurses,</w:t>
            </w:r>
            <w:r w:rsidRPr="00AF3616">
              <w:rPr>
                <w:rFonts w:ascii="Arial" w:hAnsi="Arial" w:cs="Arial"/>
              </w:rPr>
              <w:t xml:space="preserve"> Board Committees</w:t>
            </w:r>
            <w:r w:rsidR="004A06AB">
              <w:rPr>
                <w:rFonts w:ascii="Arial" w:hAnsi="Arial" w:cs="Arial"/>
              </w:rPr>
              <w:t>, Community P</w:t>
            </w:r>
            <w:r w:rsidR="00912D7F">
              <w:rPr>
                <w:rFonts w:ascii="Arial" w:hAnsi="Arial" w:cs="Arial"/>
              </w:rPr>
              <w:t>sychiatric Nurses.</w:t>
            </w:r>
          </w:p>
        </w:tc>
      </w:tr>
      <w:tr w:rsidR="00CA7C08" w:rsidRPr="00AF3616" w14:paraId="747F2731" w14:textId="77777777" w:rsidTr="00C83F4F">
        <w:tc>
          <w:tcPr>
            <w:tcW w:w="4673" w:type="dxa"/>
            <w:shd w:val="clear" w:color="auto" w:fill="1F4E79" w:themeFill="accent1" w:themeFillShade="80"/>
          </w:tcPr>
          <w:p w14:paraId="042C7521" w14:textId="77777777" w:rsidR="00CA7C08" w:rsidRPr="00AF3616" w:rsidRDefault="00CA7C08" w:rsidP="00C83F4F">
            <w:pPr>
              <w:rPr>
                <w:rFonts w:ascii="Arial" w:hAnsi="Arial" w:cs="Arial"/>
                <w:b/>
                <w:color w:val="BF8F00" w:themeColor="accent4" w:themeShade="BF"/>
              </w:rPr>
            </w:pPr>
            <w:r w:rsidRPr="00AF3616">
              <w:rPr>
                <w:rFonts w:ascii="Arial" w:hAnsi="Arial" w:cs="Arial"/>
                <w:b/>
                <w:color w:val="BF8F00" w:themeColor="accent4" w:themeShade="BF"/>
              </w:rPr>
              <w:t>People who need to know that this document exists</w:t>
            </w:r>
          </w:p>
        </w:tc>
        <w:tc>
          <w:tcPr>
            <w:tcW w:w="4536" w:type="dxa"/>
          </w:tcPr>
          <w:p w14:paraId="38962E68" w14:textId="5ED63ECE" w:rsidR="00CA7C08" w:rsidRPr="00E10208" w:rsidRDefault="00912D7F" w:rsidP="00C83F4F">
            <w:pPr>
              <w:jc w:val="both"/>
              <w:rPr>
                <w:rFonts w:ascii="Arial" w:hAnsi="Arial" w:cs="Arial"/>
                <w:iCs/>
              </w:rPr>
            </w:pPr>
            <w:r>
              <w:rPr>
                <w:rFonts w:ascii="Arial" w:hAnsi="Arial" w:cs="Arial"/>
                <w:iCs/>
              </w:rPr>
              <w:t>C</w:t>
            </w:r>
            <w:r w:rsidR="00EF1720">
              <w:rPr>
                <w:rFonts w:ascii="Arial" w:hAnsi="Arial" w:cs="Arial"/>
                <w:iCs/>
              </w:rPr>
              <w:t>ommunity Mental Health Team</w:t>
            </w:r>
            <w:r>
              <w:rPr>
                <w:rFonts w:ascii="Arial" w:hAnsi="Arial" w:cs="Arial"/>
                <w:iCs/>
              </w:rPr>
              <w:t xml:space="preserve"> staff</w:t>
            </w:r>
            <w:r w:rsidR="00902EFB">
              <w:rPr>
                <w:rFonts w:ascii="Arial" w:hAnsi="Arial" w:cs="Arial"/>
                <w:iCs/>
              </w:rPr>
              <w:t xml:space="preserve">, </w:t>
            </w:r>
            <w:r w:rsidR="00EF1720">
              <w:rPr>
                <w:rFonts w:ascii="Arial" w:hAnsi="Arial" w:cs="Arial"/>
                <w:iCs/>
              </w:rPr>
              <w:t>ward staff on mental health wards</w:t>
            </w:r>
          </w:p>
        </w:tc>
      </w:tr>
    </w:tbl>
    <w:p w14:paraId="4D0F73B8" w14:textId="77777777" w:rsidR="00CA7C08" w:rsidRPr="00AF3616" w:rsidRDefault="00CA7C08" w:rsidP="00CA7C08">
      <w:pPr>
        <w:pStyle w:val="NoSpacing"/>
        <w:rPr>
          <w:rFonts w:ascii="Arial" w:hAnsi="Arial" w:cs="Arial"/>
        </w:rPr>
      </w:pPr>
    </w:p>
    <w:p w14:paraId="64D7297E" w14:textId="77777777" w:rsidR="00CA7C08" w:rsidRPr="00AF3616" w:rsidRDefault="00CA7C08" w:rsidP="00CA7C08">
      <w:pPr>
        <w:rPr>
          <w:rFonts w:ascii="Arial" w:hAnsi="Arial" w:cs="Arial"/>
          <w:b/>
        </w:rPr>
      </w:pPr>
      <w:r w:rsidRPr="00AF3616">
        <w:rPr>
          <w:rFonts w:ascii="Arial" w:hAnsi="Arial" w:cs="Arial"/>
          <w:b/>
        </w:rPr>
        <w:t>Integrated Impact Assessment:</w:t>
      </w:r>
    </w:p>
    <w:tbl>
      <w:tblPr>
        <w:tblStyle w:val="TableGrid"/>
        <w:tblW w:w="92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73"/>
        <w:gridCol w:w="4536"/>
      </w:tblGrid>
      <w:tr w:rsidR="00CA7C08" w:rsidRPr="00AF3616" w14:paraId="7B745A70" w14:textId="77777777" w:rsidTr="00C83F4F">
        <w:trPr>
          <w:trHeight w:val="270"/>
        </w:trPr>
        <w:tc>
          <w:tcPr>
            <w:tcW w:w="4673" w:type="dxa"/>
            <w:vMerge w:val="restart"/>
            <w:shd w:val="clear" w:color="auto" w:fill="1F4E79" w:themeFill="accent1" w:themeFillShade="80"/>
          </w:tcPr>
          <w:p w14:paraId="2D5FA3D6" w14:textId="77777777" w:rsidR="00CA7C08" w:rsidRPr="00AF3616" w:rsidRDefault="00CA7C08" w:rsidP="00C83F4F">
            <w:pPr>
              <w:rPr>
                <w:rFonts w:ascii="Arial" w:hAnsi="Arial" w:cs="Arial"/>
                <w:b/>
                <w:color w:val="BF8F00" w:themeColor="accent4" w:themeShade="BF"/>
              </w:rPr>
            </w:pPr>
            <w:r w:rsidRPr="00AF3616">
              <w:rPr>
                <w:rFonts w:ascii="Arial" w:hAnsi="Arial" w:cs="Arial"/>
                <w:b/>
                <w:color w:val="BF8F00" w:themeColor="accent4" w:themeShade="BF"/>
              </w:rPr>
              <w:t>Equality Impact Assessment Date &amp; Outcome</w:t>
            </w:r>
          </w:p>
        </w:tc>
        <w:tc>
          <w:tcPr>
            <w:tcW w:w="4536" w:type="dxa"/>
          </w:tcPr>
          <w:p w14:paraId="491D1325" w14:textId="18E225AB" w:rsidR="00274505" w:rsidRPr="00AF3616" w:rsidRDefault="00CA7C08" w:rsidP="00C83F4F">
            <w:pPr>
              <w:rPr>
                <w:rFonts w:ascii="Arial" w:hAnsi="Arial" w:cs="Arial"/>
                <w:b/>
              </w:rPr>
            </w:pPr>
            <w:r w:rsidRPr="00AF3616">
              <w:rPr>
                <w:rFonts w:ascii="Arial" w:hAnsi="Arial" w:cs="Arial"/>
                <w:b/>
              </w:rPr>
              <w:t>Date:</w:t>
            </w:r>
          </w:p>
        </w:tc>
      </w:tr>
      <w:tr w:rsidR="00CA7C08" w:rsidRPr="00AF3616" w14:paraId="49BD0F33" w14:textId="77777777" w:rsidTr="00C83F4F">
        <w:trPr>
          <w:trHeight w:val="270"/>
        </w:trPr>
        <w:tc>
          <w:tcPr>
            <w:tcW w:w="4673" w:type="dxa"/>
            <w:vMerge/>
            <w:shd w:val="clear" w:color="auto" w:fill="1F4E79" w:themeFill="accent1" w:themeFillShade="80"/>
          </w:tcPr>
          <w:p w14:paraId="39BE7F63" w14:textId="77777777" w:rsidR="00CA7C08" w:rsidRPr="00AF3616" w:rsidRDefault="00CA7C08" w:rsidP="00C83F4F">
            <w:pPr>
              <w:rPr>
                <w:rFonts w:ascii="Arial" w:hAnsi="Arial" w:cs="Arial"/>
                <w:b/>
                <w:color w:val="BF8F00" w:themeColor="accent4" w:themeShade="BF"/>
              </w:rPr>
            </w:pPr>
          </w:p>
        </w:tc>
        <w:tc>
          <w:tcPr>
            <w:tcW w:w="4536" w:type="dxa"/>
          </w:tcPr>
          <w:p w14:paraId="5C29C6D0" w14:textId="21BAAB54" w:rsidR="00274505" w:rsidRPr="00AF3616" w:rsidRDefault="00CA7C08" w:rsidP="00C83F4F">
            <w:pPr>
              <w:rPr>
                <w:rFonts w:ascii="Arial" w:hAnsi="Arial" w:cs="Arial"/>
                <w:b/>
              </w:rPr>
            </w:pPr>
            <w:r w:rsidRPr="00AF3616">
              <w:rPr>
                <w:rFonts w:ascii="Arial" w:hAnsi="Arial" w:cs="Arial"/>
                <w:b/>
              </w:rPr>
              <w:t>Outcome:</w:t>
            </w:r>
            <w:r w:rsidR="00F113F1">
              <w:rPr>
                <w:rFonts w:ascii="Arial" w:hAnsi="Arial" w:cs="Arial"/>
                <w:b/>
              </w:rPr>
              <w:t xml:space="preserve"> approved</w:t>
            </w:r>
          </w:p>
        </w:tc>
      </w:tr>
      <w:tr w:rsidR="00CA7C08" w:rsidRPr="00AF3616" w14:paraId="3CFD94B0" w14:textId="77777777" w:rsidTr="00C83F4F">
        <w:tc>
          <w:tcPr>
            <w:tcW w:w="4673" w:type="dxa"/>
            <w:shd w:val="clear" w:color="auto" w:fill="1F4E79" w:themeFill="accent1" w:themeFillShade="80"/>
          </w:tcPr>
          <w:p w14:paraId="74FCF81B" w14:textId="540B4ACB" w:rsidR="00CA7C08" w:rsidRPr="00AF3616" w:rsidRDefault="00CA7C08" w:rsidP="00C83F4F">
            <w:pPr>
              <w:rPr>
                <w:rFonts w:ascii="Arial" w:hAnsi="Arial" w:cs="Arial"/>
                <w:b/>
                <w:color w:val="BF8F00" w:themeColor="accent4" w:themeShade="BF"/>
                <w:lang w:val="cy-GB"/>
              </w:rPr>
            </w:pPr>
            <w:r w:rsidRPr="00AF3616">
              <w:rPr>
                <w:rFonts w:ascii="Arial" w:hAnsi="Arial" w:cs="Arial"/>
                <w:b/>
                <w:color w:val="BF8F00" w:themeColor="accent4" w:themeShade="BF"/>
                <w:lang w:val="cy-GB"/>
              </w:rPr>
              <w:t xml:space="preserve">Welsh Language Standard </w:t>
            </w:r>
          </w:p>
          <w:p w14:paraId="27C7292F" w14:textId="77777777" w:rsidR="00CA7C08" w:rsidRPr="00AF3616" w:rsidRDefault="00CA7C08" w:rsidP="00C83F4F">
            <w:pPr>
              <w:rPr>
                <w:rFonts w:ascii="Arial" w:hAnsi="Arial" w:cs="Arial"/>
                <w:b/>
                <w:color w:val="BF8F00" w:themeColor="accent4" w:themeShade="BF"/>
              </w:rPr>
            </w:pPr>
          </w:p>
        </w:tc>
        <w:sdt>
          <w:sdtPr>
            <w:rPr>
              <w:rFonts w:ascii="Arial" w:hAnsi="Arial" w:cs="Arial"/>
            </w:rPr>
            <w:id w:val="1848820021"/>
            <w:placeholder>
              <w:docPart w:val="5414DA04B821463F8EA2F69D69A87E4F"/>
            </w:placeholder>
            <w:dropDownList>
              <w:listItem w:value="Choose an item."/>
              <w:listItem w:displayText="Yes - If Standard 82 applies you must ensure a Welsh version of this policy is maintained." w:value="Yes - If Standard 82 applies you must ensure a Welsh version of this policy is maintained."/>
              <w:listItem w:displayText="No" w:value="No"/>
            </w:dropDownList>
          </w:sdtPr>
          <w:sdtEndPr/>
          <w:sdtContent>
            <w:tc>
              <w:tcPr>
                <w:tcW w:w="4536" w:type="dxa"/>
              </w:tcPr>
              <w:p w14:paraId="1E83AFD7" w14:textId="6D376C78" w:rsidR="00CA7C08" w:rsidRPr="00AF3616" w:rsidRDefault="00F8501A" w:rsidP="00C83F4F">
                <w:pPr>
                  <w:rPr>
                    <w:rFonts w:ascii="Arial" w:hAnsi="Arial" w:cs="Arial"/>
                    <w:b/>
                  </w:rPr>
                </w:pPr>
                <w:r w:rsidRPr="00AF3616">
                  <w:rPr>
                    <w:rFonts w:ascii="Arial" w:hAnsi="Arial" w:cs="Arial"/>
                  </w:rPr>
                  <w:t>No</w:t>
                </w:r>
              </w:p>
            </w:tc>
          </w:sdtContent>
        </w:sdt>
      </w:tr>
      <w:tr w:rsidR="007B5BE9" w:rsidRPr="00AF3616" w14:paraId="11CD7374" w14:textId="77777777" w:rsidTr="00C83F4F">
        <w:tc>
          <w:tcPr>
            <w:tcW w:w="4673" w:type="dxa"/>
            <w:shd w:val="clear" w:color="auto" w:fill="1F4E79" w:themeFill="accent1" w:themeFillShade="80"/>
          </w:tcPr>
          <w:p w14:paraId="0351624D" w14:textId="77777777" w:rsidR="007B5BE9" w:rsidRPr="00AF3616" w:rsidRDefault="007B5BE9" w:rsidP="00C83F4F">
            <w:pPr>
              <w:rPr>
                <w:rFonts w:ascii="Arial" w:hAnsi="Arial" w:cs="Arial"/>
                <w:b/>
                <w:color w:val="BF8F00" w:themeColor="accent4" w:themeShade="BF"/>
                <w:lang w:val="cy-GB"/>
              </w:rPr>
            </w:pPr>
            <w:proofErr w:type="spellStart"/>
            <w:r w:rsidRPr="00AF3616">
              <w:rPr>
                <w:rFonts w:ascii="Arial" w:hAnsi="Arial" w:cs="Arial"/>
                <w:b/>
                <w:color w:val="BF8F00" w:themeColor="accent4" w:themeShade="BF"/>
                <w:lang w:val="cy-GB"/>
              </w:rPr>
              <w:t>Date</w:t>
            </w:r>
            <w:proofErr w:type="spellEnd"/>
            <w:r w:rsidRPr="00AF3616">
              <w:rPr>
                <w:rFonts w:ascii="Arial" w:hAnsi="Arial" w:cs="Arial"/>
                <w:b/>
                <w:color w:val="BF8F00" w:themeColor="accent4" w:themeShade="BF"/>
                <w:lang w:val="cy-GB"/>
              </w:rPr>
              <w:t xml:space="preserve"> of </w:t>
            </w:r>
            <w:proofErr w:type="spellStart"/>
            <w:r w:rsidRPr="00AF3616">
              <w:rPr>
                <w:rFonts w:ascii="Arial" w:hAnsi="Arial" w:cs="Arial"/>
                <w:b/>
                <w:color w:val="BF8F00" w:themeColor="accent4" w:themeShade="BF"/>
                <w:lang w:val="cy-GB"/>
              </w:rPr>
              <w:t>approval</w:t>
            </w:r>
            <w:proofErr w:type="spellEnd"/>
            <w:r w:rsidRPr="00AF3616">
              <w:rPr>
                <w:rFonts w:ascii="Arial" w:hAnsi="Arial" w:cs="Arial"/>
                <w:b/>
                <w:color w:val="BF8F00" w:themeColor="accent4" w:themeShade="BF"/>
                <w:lang w:val="cy-GB"/>
              </w:rPr>
              <w:t xml:space="preserve"> by </w:t>
            </w:r>
            <w:proofErr w:type="spellStart"/>
            <w:r w:rsidRPr="00AF3616">
              <w:rPr>
                <w:rFonts w:ascii="Arial" w:hAnsi="Arial" w:cs="Arial"/>
                <w:b/>
                <w:color w:val="BF8F00" w:themeColor="accent4" w:themeShade="BF"/>
                <w:lang w:val="cy-GB"/>
              </w:rPr>
              <w:t>Equality</w:t>
            </w:r>
            <w:proofErr w:type="spellEnd"/>
            <w:r w:rsidRPr="00AF3616">
              <w:rPr>
                <w:rFonts w:ascii="Arial" w:hAnsi="Arial" w:cs="Arial"/>
                <w:b/>
                <w:color w:val="BF8F00" w:themeColor="accent4" w:themeShade="BF"/>
                <w:lang w:val="cy-GB"/>
              </w:rPr>
              <w:t xml:space="preserve"> Team:</w:t>
            </w:r>
          </w:p>
          <w:p w14:paraId="4DDAD4D9" w14:textId="11D2DF04" w:rsidR="007B5BE9" w:rsidRPr="00AF3616" w:rsidRDefault="007B5BE9" w:rsidP="00C83F4F">
            <w:pPr>
              <w:rPr>
                <w:rFonts w:ascii="Arial" w:hAnsi="Arial" w:cs="Arial"/>
                <w:b/>
                <w:color w:val="BF8F00" w:themeColor="accent4" w:themeShade="BF"/>
                <w:lang w:val="cy-GB"/>
              </w:rPr>
            </w:pPr>
          </w:p>
        </w:tc>
        <w:tc>
          <w:tcPr>
            <w:tcW w:w="4536" w:type="dxa"/>
          </w:tcPr>
          <w:p w14:paraId="5F2461EC" w14:textId="50412470" w:rsidR="007B5BE9" w:rsidRPr="00AF3616" w:rsidRDefault="00274505" w:rsidP="00C83F4F">
            <w:pPr>
              <w:rPr>
                <w:rFonts w:ascii="Arial" w:hAnsi="Arial" w:cs="Arial"/>
              </w:rPr>
            </w:pPr>
            <w:r w:rsidRPr="00AF3616">
              <w:rPr>
                <w:rFonts w:ascii="Arial" w:hAnsi="Arial" w:cs="Arial"/>
              </w:rPr>
              <w:t>(00/00/0000)</w:t>
            </w:r>
          </w:p>
        </w:tc>
      </w:tr>
      <w:tr w:rsidR="00CA7C08" w:rsidRPr="00AF3616" w14:paraId="2FC48854" w14:textId="77777777" w:rsidTr="00C83F4F">
        <w:tc>
          <w:tcPr>
            <w:tcW w:w="4673" w:type="dxa"/>
            <w:shd w:val="clear" w:color="auto" w:fill="1F4E79" w:themeFill="accent1" w:themeFillShade="80"/>
          </w:tcPr>
          <w:p w14:paraId="673DE5A6" w14:textId="77777777" w:rsidR="00CA7C08" w:rsidRPr="00AF3616" w:rsidRDefault="00CA7C08" w:rsidP="00C83F4F">
            <w:pPr>
              <w:rPr>
                <w:rFonts w:ascii="Arial" w:hAnsi="Arial" w:cs="Arial"/>
                <w:b/>
                <w:color w:val="BF8F00" w:themeColor="accent4" w:themeShade="BF"/>
                <w:lang w:val="cy-GB"/>
              </w:rPr>
            </w:pPr>
            <w:proofErr w:type="spellStart"/>
            <w:r w:rsidRPr="00AF3616">
              <w:rPr>
                <w:rFonts w:ascii="Arial" w:hAnsi="Arial" w:cs="Arial"/>
                <w:b/>
                <w:color w:val="BF8F00" w:themeColor="accent4" w:themeShade="BF"/>
                <w:lang w:val="cy-GB"/>
              </w:rPr>
              <w:t>Aligns</w:t>
            </w:r>
            <w:proofErr w:type="spellEnd"/>
            <w:r w:rsidRPr="00AF3616">
              <w:rPr>
                <w:rFonts w:ascii="Arial" w:hAnsi="Arial" w:cs="Arial"/>
                <w:b/>
                <w:color w:val="BF8F00" w:themeColor="accent4" w:themeShade="BF"/>
                <w:lang w:val="cy-GB"/>
              </w:rPr>
              <w:t xml:space="preserve"> to the </w:t>
            </w:r>
            <w:proofErr w:type="spellStart"/>
            <w:r w:rsidRPr="00AF3616">
              <w:rPr>
                <w:rFonts w:ascii="Arial" w:hAnsi="Arial" w:cs="Arial"/>
                <w:b/>
                <w:color w:val="BF8F00" w:themeColor="accent4" w:themeShade="BF"/>
                <w:lang w:val="cy-GB"/>
              </w:rPr>
              <w:t>following</w:t>
            </w:r>
            <w:proofErr w:type="spellEnd"/>
            <w:r w:rsidRPr="00AF3616">
              <w:rPr>
                <w:rFonts w:ascii="Arial" w:hAnsi="Arial" w:cs="Arial"/>
                <w:b/>
                <w:color w:val="BF8F00" w:themeColor="accent4" w:themeShade="BF"/>
                <w:lang w:val="cy-GB"/>
              </w:rPr>
              <w:t xml:space="preserve"> Wellbeing of </w:t>
            </w:r>
            <w:proofErr w:type="spellStart"/>
            <w:r w:rsidRPr="00AF3616">
              <w:rPr>
                <w:rFonts w:ascii="Arial" w:hAnsi="Arial" w:cs="Arial"/>
                <w:b/>
                <w:color w:val="BF8F00" w:themeColor="accent4" w:themeShade="BF"/>
                <w:lang w:val="cy-GB"/>
              </w:rPr>
              <w:t>Future</w:t>
            </w:r>
            <w:proofErr w:type="spellEnd"/>
            <w:r w:rsidRPr="00AF3616">
              <w:rPr>
                <w:rFonts w:ascii="Arial" w:hAnsi="Arial" w:cs="Arial"/>
                <w:b/>
                <w:color w:val="BF8F00" w:themeColor="accent4" w:themeShade="BF"/>
                <w:lang w:val="cy-GB"/>
              </w:rPr>
              <w:t xml:space="preserve"> </w:t>
            </w:r>
            <w:proofErr w:type="spellStart"/>
            <w:r w:rsidRPr="00AF3616">
              <w:rPr>
                <w:rFonts w:ascii="Arial" w:hAnsi="Arial" w:cs="Arial"/>
                <w:b/>
                <w:color w:val="BF8F00" w:themeColor="accent4" w:themeShade="BF"/>
                <w:lang w:val="cy-GB"/>
              </w:rPr>
              <w:t>Generation</w:t>
            </w:r>
            <w:proofErr w:type="spellEnd"/>
            <w:r w:rsidRPr="00AF3616">
              <w:rPr>
                <w:rFonts w:ascii="Arial" w:hAnsi="Arial" w:cs="Arial"/>
                <w:b/>
                <w:color w:val="BF8F00" w:themeColor="accent4" w:themeShade="BF"/>
                <w:lang w:val="cy-GB"/>
              </w:rPr>
              <w:t xml:space="preserve"> Act </w:t>
            </w:r>
            <w:proofErr w:type="spellStart"/>
            <w:r w:rsidRPr="00AF3616">
              <w:rPr>
                <w:rFonts w:ascii="Arial" w:hAnsi="Arial" w:cs="Arial"/>
                <w:b/>
                <w:color w:val="BF8F00" w:themeColor="accent4" w:themeShade="BF"/>
                <w:lang w:val="cy-GB"/>
              </w:rPr>
              <w:t>Objective</w:t>
            </w:r>
            <w:proofErr w:type="spellEnd"/>
          </w:p>
        </w:tc>
        <w:sdt>
          <w:sdtPr>
            <w:rPr>
              <w:rFonts w:ascii="Arial" w:hAnsi="Arial" w:cs="Arial"/>
            </w:rPr>
            <w:id w:val="1683709248"/>
            <w:placeholder>
              <w:docPart w:val="B63DED56FA44474C8D618BB6E94D2B71"/>
            </w:placeholder>
            <w:dropDownList>
              <w:listItem w:value="Choose an item."/>
              <w:listItem w:displayText="Work with communities and partners to reduce inequality, promote well-being and prevent ill-health" w:value="Work with communities and partners to reduce inequality, promote well-being and prevent ill-health"/>
              <w:listItem w:displayText="Provide high quality, evidence based, and accessible care" w:value="Provide high quality, evidence based, and accessible care"/>
              <w:listItem w:displayText="Ensure sustainability in all that we do, economically, environmentally and socially" w:value="Ensure sustainability in all that we do, economically, environmentally and socially"/>
              <w:listItem w:displayText="Co-create with staff and partners a learning and growing culture" w:value="Co-create with staff and partners a learning and growing culture"/>
            </w:dropDownList>
          </w:sdtPr>
          <w:sdtEndPr/>
          <w:sdtContent>
            <w:tc>
              <w:tcPr>
                <w:tcW w:w="4536" w:type="dxa"/>
              </w:tcPr>
              <w:p w14:paraId="4C9FF69B" w14:textId="5177418F" w:rsidR="00CA7C08" w:rsidRPr="00AF3616" w:rsidRDefault="008E6EF6" w:rsidP="00C83F4F">
                <w:pPr>
                  <w:rPr>
                    <w:rFonts w:ascii="Arial" w:hAnsi="Arial" w:cs="Arial"/>
                    <w:b/>
                  </w:rPr>
                </w:pPr>
                <w:r w:rsidRPr="00AF3616">
                  <w:rPr>
                    <w:rFonts w:ascii="Arial" w:hAnsi="Arial" w:cs="Arial"/>
                  </w:rPr>
                  <w:t>Work with communities and partners to reduce inequality, promote well-being and prevent ill-health</w:t>
                </w:r>
              </w:p>
            </w:tc>
          </w:sdtContent>
        </w:sdt>
      </w:tr>
    </w:tbl>
    <w:p w14:paraId="21AEC733" w14:textId="77777777" w:rsidR="00CA7C08" w:rsidRPr="00AF3616" w:rsidRDefault="00CA7C08" w:rsidP="00CA7C08">
      <w:pPr>
        <w:pStyle w:val="NoSpacing"/>
        <w:rPr>
          <w:rFonts w:ascii="Arial" w:hAnsi="Arial" w:cs="Arial"/>
        </w:rPr>
      </w:pPr>
    </w:p>
    <w:p w14:paraId="546BD8D8" w14:textId="75A8B6E5" w:rsidR="00CA7C08" w:rsidRPr="00AF3616" w:rsidRDefault="000B2FF1" w:rsidP="00824D89">
      <w:pPr>
        <w:jc w:val="center"/>
        <w:rPr>
          <w:rFonts w:ascii="Arial" w:hAnsi="Arial" w:cs="Arial"/>
          <w:b/>
        </w:rPr>
      </w:pPr>
      <w:r w:rsidRPr="00AF3616">
        <w:rPr>
          <w:rFonts w:ascii="Arial" w:hAnsi="Arial" w:cs="Arial"/>
          <w:b/>
          <w:noProof/>
          <w:lang w:eastAsia="en-GB"/>
        </w:rPr>
        <w:drawing>
          <wp:inline distT="0" distB="0" distL="0" distR="0" wp14:anchorId="647D7144" wp14:editId="361FB58B">
            <wp:extent cx="3331210" cy="880597"/>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ingual.Master_CTM_ValuesAndBehaviours_1920x1080_ARTWORK_JB - Cop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57588" cy="887570"/>
                    </a:xfrm>
                    <a:prstGeom prst="rect">
                      <a:avLst/>
                    </a:prstGeom>
                  </pic:spPr>
                </pic:pic>
              </a:graphicData>
            </a:graphic>
          </wp:inline>
        </w:drawing>
      </w:r>
    </w:p>
    <w:tbl>
      <w:tblPr>
        <w:tblStyle w:val="TableGrid"/>
        <w:tblW w:w="94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412"/>
      </w:tblGrid>
      <w:tr w:rsidR="00CA7C08" w:rsidRPr="00AF3616" w14:paraId="442AC822" w14:textId="77777777" w:rsidTr="00C83F4F">
        <w:trPr>
          <w:trHeight w:val="525"/>
        </w:trPr>
        <w:tc>
          <w:tcPr>
            <w:tcW w:w="9412" w:type="dxa"/>
            <w:shd w:val="clear" w:color="auto" w:fill="1F4E79" w:themeFill="accent1" w:themeFillShade="80"/>
          </w:tcPr>
          <w:p w14:paraId="486ACC41" w14:textId="77777777" w:rsidR="00CA7C08" w:rsidRPr="00AF3616" w:rsidRDefault="00CA7C08" w:rsidP="00C83F4F">
            <w:pPr>
              <w:jc w:val="both"/>
              <w:rPr>
                <w:rFonts w:ascii="Arial" w:hAnsi="Arial" w:cs="Arial"/>
                <w:b/>
                <w:color w:val="BF8F00" w:themeColor="accent4" w:themeShade="BF"/>
              </w:rPr>
            </w:pPr>
            <w:r w:rsidRPr="00AF3616">
              <w:rPr>
                <w:rFonts w:ascii="Arial" w:hAnsi="Arial" w:cs="Arial"/>
                <w:b/>
                <w:color w:val="BF8F00" w:themeColor="accent4" w:themeShade="BF"/>
              </w:rPr>
              <w:t>Disclaimer:</w:t>
            </w:r>
          </w:p>
        </w:tc>
      </w:tr>
      <w:tr w:rsidR="00CA7C08" w:rsidRPr="00AF3616" w14:paraId="6D4E40C6" w14:textId="77777777" w:rsidTr="00C83F4F">
        <w:trPr>
          <w:trHeight w:val="379"/>
        </w:trPr>
        <w:tc>
          <w:tcPr>
            <w:tcW w:w="9412" w:type="dxa"/>
            <w:shd w:val="clear" w:color="auto" w:fill="FFFFFF" w:themeFill="background1"/>
          </w:tcPr>
          <w:p w14:paraId="384C971F" w14:textId="77777777" w:rsidR="00CA7C08" w:rsidRPr="00AF3616" w:rsidRDefault="00CA7C08" w:rsidP="00C83F4F">
            <w:pPr>
              <w:jc w:val="both"/>
              <w:rPr>
                <w:rFonts w:ascii="Arial" w:hAnsi="Arial" w:cs="Arial"/>
              </w:rPr>
            </w:pPr>
            <w:r w:rsidRPr="00AF3616">
              <w:rPr>
                <w:rFonts w:ascii="Arial" w:hAnsi="Arial" w:cs="Arial"/>
              </w:rPr>
              <w:lastRenderedPageBreak/>
              <w:t xml:space="preserve">If the review date of this document has passed please ensure that the version you are using is the most up to date version either by contacting the author or </w:t>
            </w:r>
            <w:hyperlink r:id="rId12" w:history="1">
              <w:r w:rsidRPr="00AF3616">
                <w:rPr>
                  <w:rStyle w:val="Hyperlink"/>
                  <w:rFonts w:ascii="Arial" w:hAnsi="Arial" w:cs="Arial"/>
                </w:rPr>
                <w:t>CTM_Corporate_Governance@wales.nhs.uk</w:t>
              </w:r>
            </w:hyperlink>
            <w:r w:rsidRPr="00AF3616">
              <w:rPr>
                <w:rFonts w:ascii="Arial" w:hAnsi="Arial" w:cs="Arial"/>
              </w:rPr>
              <w:t xml:space="preserve"> </w:t>
            </w:r>
          </w:p>
        </w:tc>
      </w:tr>
    </w:tbl>
    <w:p w14:paraId="2C311CB8" w14:textId="77777777" w:rsidR="000B2FF1" w:rsidRPr="00AF3616" w:rsidRDefault="000B2FF1" w:rsidP="000B2FF1">
      <w:pPr>
        <w:tabs>
          <w:tab w:val="left" w:pos="2599"/>
        </w:tabs>
        <w:rPr>
          <w:rFonts w:ascii="Arial" w:hAnsi="Arial" w:cs="Arial"/>
        </w:rPr>
      </w:pPr>
      <w:bookmarkStart w:id="0" w:name="_Toc2670883"/>
    </w:p>
    <w:bookmarkEnd w:id="0"/>
    <w:p w14:paraId="12B02BDE" w14:textId="77777777" w:rsidR="007F5152" w:rsidRPr="00AF3616" w:rsidRDefault="007F5152" w:rsidP="007F5152">
      <w:pPr>
        <w:jc w:val="both"/>
        <w:rPr>
          <w:rFonts w:ascii="Arial" w:hAnsi="Arial" w:cs="Arial"/>
          <w:bCs/>
        </w:rPr>
      </w:pPr>
    </w:p>
    <w:p w14:paraId="6047F7DA" w14:textId="77777777" w:rsidR="007F5152" w:rsidRPr="00AF3616" w:rsidRDefault="007F5152" w:rsidP="00CA7C08">
      <w:pPr>
        <w:pStyle w:val="ListParagraph"/>
        <w:ind w:left="0"/>
        <w:rPr>
          <w:rFonts w:ascii="Arial" w:hAnsi="Arial" w:cs="Arial"/>
          <w:b/>
          <w:bCs/>
          <w:caps/>
          <w:sz w:val="24"/>
        </w:rPr>
      </w:pPr>
    </w:p>
    <w:sdt>
      <w:sdtPr>
        <w:rPr>
          <w:rFonts w:ascii="Arial" w:eastAsiaTheme="minorHAnsi" w:hAnsi="Arial" w:cs="Arial"/>
          <w:color w:val="auto"/>
          <w:sz w:val="22"/>
          <w:szCs w:val="22"/>
          <w:lang w:eastAsia="en-US"/>
        </w:rPr>
        <w:id w:val="-1254431800"/>
        <w:docPartObj>
          <w:docPartGallery w:val="Table of Contents"/>
          <w:docPartUnique/>
        </w:docPartObj>
      </w:sdtPr>
      <w:sdtEndPr>
        <w:rPr>
          <w:b/>
          <w:bCs/>
        </w:rPr>
      </w:sdtEndPr>
      <w:sdtContent>
        <w:p w14:paraId="20CEF7F7" w14:textId="71BC29D5" w:rsidR="002F0693" w:rsidRPr="00AF3616" w:rsidRDefault="002F0693">
          <w:pPr>
            <w:pStyle w:val="TOCHeading"/>
            <w:rPr>
              <w:rFonts w:ascii="Arial" w:hAnsi="Arial" w:cs="Arial"/>
            </w:rPr>
          </w:pPr>
          <w:r w:rsidRPr="00AF3616">
            <w:rPr>
              <w:rFonts w:ascii="Arial" w:hAnsi="Arial" w:cs="Arial"/>
            </w:rPr>
            <w:t>Contents</w:t>
          </w:r>
        </w:p>
        <w:p w14:paraId="5BACC1AF" w14:textId="6BD693FC" w:rsidR="004B3122" w:rsidRDefault="002F0693">
          <w:pPr>
            <w:pStyle w:val="TOC1"/>
            <w:tabs>
              <w:tab w:val="left" w:pos="440"/>
              <w:tab w:val="right" w:leader="dot" w:pos="9016"/>
            </w:tabs>
            <w:rPr>
              <w:rFonts w:eastAsiaTheme="minorEastAsia"/>
              <w:noProof/>
              <w:lang w:eastAsia="en-GB"/>
            </w:rPr>
          </w:pPr>
          <w:r w:rsidRPr="00AF3616">
            <w:rPr>
              <w:rFonts w:ascii="Arial" w:hAnsi="Arial" w:cs="Arial"/>
            </w:rPr>
            <w:fldChar w:fldCharType="begin"/>
          </w:r>
          <w:r w:rsidRPr="00AF3616">
            <w:rPr>
              <w:rFonts w:ascii="Arial" w:hAnsi="Arial" w:cs="Arial"/>
            </w:rPr>
            <w:instrText xml:space="preserve"> TOC \o "1-3" \h \z \u </w:instrText>
          </w:r>
          <w:r w:rsidRPr="00AF3616">
            <w:rPr>
              <w:rFonts w:ascii="Arial" w:hAnsi="Arial" w:cs="Arial"/>
            </w:rPr>
            <w:fldChar w:fldCharType="separate"/>
          </w:r>
          <w:hyperlink w:anchor="_Toc134786622" w:history="1">
            <w:r w:rsidR="004B3122" w:rsidRPr="00094CE3">
              <w:rPr>
                <w:rStyle w:val="Hyperlink"/>
                <w:rFonts w:ascii="Arial" w:hAnsi="Arial" w:cs="Arial"/>
                <w:b/>
                <w:bCs/>
                <w:noProof/>
              </w:rPr>
              <w:t>1.</w:t>
            </w:r>
            <w:r w:rsidR="004B3122">
              <w:rPr>
                <w:rFonts w:eastAsiaTheme="minorEastAsia"/>
                <w:noProof/>
                <w:lang w:eastAsia="en-GB"/>
              </w:rPr>
              <w:tab/>
            </w:r>
            <w:r w:rsidR="004B3122" w:rsidRPr="00094CE3">
              <w:rPr>
                <w:rStyle w:val="Hyperlink"/>
                <w:rFonts w:ascii="Arial" w:hAnsi="Arial" w:cs="Arial"/>
                <w:b/>
                <w:bCs/>
                <w:noProof/>
              </w:rPr>
              <w:t>Introduction</w:t>
            </w:r>
            <w:r w:rsidR="004B3122">
              <w:rPr>
                <w:noProof/>
                <w:webHidden/>
              </w:rPr>
              <w:tab/>
            </w:r>
            <w:r w:rsidR="004B3122">
              <w:rPr>
                <w:noProof/>
                <w:webHidden/>
              </w:rPr>
              <w:fldChar w:fldCharType="begin"/>
            </w:r>
            <w:r w:rsidR="004B3122">
              <w:rPr>
                <w:noProof/>
                <w:webHidden/>
              </w:rPr>
              <w:instrText xml:space="preserve"> PAGEREF _Toc134786622 \h </w:instrText>
            </w:r>
            <w:r w:rsidR="004B3122">
              <w:rPr>
                <w:noProof/>
                <w:webHidden/>
              </w:rPr>
            </w:r>
            <w:r w:rsidR="004B3122">
              <w:rPr>
                <w:noProof/>
                <w:webHidden/>
              </w:rPr>
              <w:fldChar w:fldCharType="separate"/>
            </w:r>
            <w:r w:rsidR="004B3122">
              <w:rPr>
                <w:noProof/>
                <w:webHidden/>
              </w:rPr>
              <w:t>3</w:t>
            </w:r>
            <w:r w:rsidR="004B3122">
              <w:rPr>
                <w:noProof/>
                <w:webHidden/>
              </w:rPr>
              <w:fldChar w:fldCharType="end"/>
            </w:r>
          </w:hyperlink>
        </w:p>
        <w:p w14:paraId="0D8F40FA" w14:textId="36D73752" w:rsidR="004B3122" w:rsidRDefault="00F113F1">
          <w:pPr>
            <w:pStyle w:val="TOC1"/>
            <w:tabs>
              <w:tab w:val="left" w:pos="440"/>
              <w:tab w:val="right" w:leader="dot" w:pos="9016"/>
            </w:tabs>
            <w:rPr>
              <w:rFonts w:eastAsiaTheme="minorEastAsia"/>
              <w:noProof/>
              <w:lang w:eastAsia="en-GB"/>
            </w:rPr>
          </w:pPr>
          <w:hyperlink w:anchor="_Toc134786623" w:history="1">
            <w:r w:rsidR="004B3122" w:rsidRPr="00094CE3">
              <w:rPr>
                <w:rStyle w:val="Hyperlink"/>
                <w:rFonts w:ascii="Arial" w:hAnsi="Arial" w:cs="Arial"/>
                <w:b/>
                <w:bCs/>
                <w:noProof/>
              </w:rPr>
              <w:t>2.</w:t>
            </w:r>
            <w:r w:rsidR="004B3122">
              <w:rPr>
                <w:rFonts w:eastAsiaTheme="minorEastAsia"/>
                <w:noProof/>
                <w:lang w:eastAsia="en-GB"/>
              </w:rPr>
              <w:tab/>
            </w:r>
            <w:r w:rsidR="004B3122" w:rsidRPr="00094CE3">
              <w:rPr>
                <w:rStyle w:val="Hyperlink"/>
                <w:rFonts w:ascii="Arial" w:hAnsi="Arial" w:cs="Arial"/>
                <w:b/>
                <w:bCs/>
                <w:noProof/>
              </w:rPr>
              <w:t>Scope</w:t>
            </w:r>
            <w:r w:rsidR="004B3122">
              <w:rPr>
                <w:noProof/>
                <w:webHidden/>
              </w:rPr>
              <w:tab/>
            </w:r>
            <w:r w:rsidR="004B3122">
              <w:rPr>
                <w:noProof/>
                <w:webHidden/>
              </w:rPr>
              <w:fldChar w:fldCharType="begin"/>
            </w:r>
            <w:r w:rsidR="004B3122">
              <w:rPr>
                <w:noProof/>
                <w:webHidden/>
              </w:rPr>
              <w:instrText xml:space="preserve"> PAGEREF _Toc134786623 \h </w:instrText>
            </w:r>
            <w:r w:rsidR="004B3122">
              <w:rPr>
                <w:noProof/>
                <w:webHidden/>
              </w:rPr>
            </w:r>
            <w:r w:rsidR="004B3122">
              <w:rPr>
                <w:noProof/>
                <w:webHidden/>
              </w:rPr>
              <w:fldChar w:fldCharType="separate"/>
            </w:r>
            <w:r w:rsidR="004B3122">
              <w:rPr>
                <w:noProof/>
                <w:webHidden/>
              </w:rPr>
              <w:t>3</w:t>
            </w:r>
            <w:r w:rsidR="004B3122">
              <w:rPr>
                <w:noProof/>
                <w:webHidden/>
              </w:rPr>
              <w:fldChar w:fldCharType="end"/>
            </w:r>
          </w:hyperlink>
        </w:p>
        <w:p w14:paraId="4BBC6799" w14:textId="4CCC90B1" w:rsidR="004B3122" w:rsidRDefault="00F113F1">
          <w:pPr>
            <w:pStyle w:val="TOC1"/>
            <w:tabs>
              <w:tab w:val="left" w:pos="440"/>
              <w:tab w:val="right" w:leader="dot" w:pos="9016"/>
            </w:tabs>
            <w:rPr>
              <w:rFonts w:eastAsiaTheme="minorEastAsia"/>
              <w:noProof/>
              <w:lang w:eastAsia="en-GB"/>
            </w:rPr>
          </w:pPr>
          <w:hyperlink w:anchor="_Toc134786624" w:history="1">
            <w:r w:rsidR="004B3122" w:rsidRPr="00094CE3">
              <w:rPr>
                <w:rStyle w:val="Hyperlink"/>
                <w:rFonts w:ascii="Arial" w:eastAsia="Times New Roman" w:hAnsi="Arial" w:cs="Arial"/>
                <w:b/>
                <w:bCs/>
                <w:noProof/>
              </w:rPr>
              <w:t>3.</w:t>
            </w:r>
            <w:r w:rsidR="004B3122">
              <w:rPr>
                <w:rFonts w:eastAsiaTheme="minorEastAsia"/>
                <w:noProof/>
                <w:lang w:eastAsia="en-GB"/>
              </w:rPr>
              <w:tab/>
            </w:r>
            <w:r w:rsidR="004B3122" w:rsidRPr="00094CE3">
              <w:rPr>
                <w:rStyle w:val="Hyperlink"/>
                <w:rFonts w:ascii="Arial" w:eastAsia="Times New Roman" w:hAnsi="Arial" w:cs="Arial"/>
                <w:b/>
                <w:bCs/>
                <w:noProof/>
              </w:rPr>
              <w:t>Policy Statement</w:t>
            </w:r>
            <w:r w:rsidR="004B3122">
              <w:rPr>
                <w:noProof/>
                <w:webHidden/>
              </w:rPr>
              <w:tab/>
            </w:r>
            <w:r w:rsidR="004B3122">
              <w:rPr>
                <w:noProof/>
                <w:webHidden/>
              </w:rPr>
              <w:fldChar w:fldCharType="begin"/>
            </w:r>
            <w:r w:rsidR="004B3122">
              <w:rPr>
                <w:noProof/>
                <w:webHidden/>
              </w:rPr>
              <w:instrText xml:space="preserve"> PAGEREF _Toc134786624 \h </w:instrText>
            </w:r>
            <w:r w:rsidR="004B3122">
              <w:rPr>
                <w:noProof/>
                <w:webHidden/>
              </w:rPr>
            </w:r>
            <w:r w:rsidR="004B3122">
              <w:rPr>
                <w:noProof/>
                <w:webHidden/>
              </w:rPr>
              <w:fldChar w:fldCharType="separate"/>
            </w:r>
            <w:r w:rsidR="004B3122">
              <w:rPr>
                <w:noProof/>
                <w:webHidden/>
              </w:rPr>
              <w:t>3</w:t>
            </w:r>
            <w:r w:rsidR="004B3122">
              <w:rPr>
                <w:noProof/>
                <w:webHidden/>
              </w:rPr>
              <w:fldChar w:fldCharType="end"/>
            </w:r>
          </w:hyperlink>
        </w:p>
        <w:p w14:paraId="15DF3BF1" w14:textId="4A6CBDDE" w:rsidR="004B3122" w:rsidRDefault="00F113F1">
          <w:pPr>
            <w:pStyle w:val="TOC1"/>
            <w:tabs>
              <w:tab w:val="left" w:pos="440"/>
              <w:tab w:val="right" w:leader="dot" w:pos="9016"/>
            </w:tabs>
            <w:rPr>
              <w:rFonts w:eastAsiaTheme="minorEastAsia"/>
              <w:noProof/>
              <w:lang w:eastAsia="en-GB"/>
            </w:rPr>
          </w:pPr>
          <w:hyperlink w:anchor="_Toc134786625" w:history="1">
            <w:r w:rsidR="004B3122" w:rsidRPr="00094CE3">
              <w:rPr>
                <w:rStyle w:val="Hyperlink"/>
                <w:rFonts w:ascii="Arial" w:hAnsi="Arial" w:cs="Arial"/>
                <w:b/>
                <w:bCs/>
                <w:noProof/>
              </w:rPr>
              <w:t>4.</w:t>
            </w:r>
            <w:r w:rsidR="004B3122">
              <w:rPr>
                <w:rFonts w:eastAsiaTheme="minorEastAsia"/>
                <w:noProof/>
                <w:lang w:eastAsia="en-GB"/>
              </w:rPr>
              <w:tab/>
            </w:r>
            <w:r w:rsidR="004B3122" w:rsidRPr="00094CE3">
              <w:rPr>
                <w:rStyle w:val="Hyperlink"/>
                <w:rFonts w:ascii="Arial" w:hAnsi="Arial" w:cs="Arial"/>
                <w:b/>
                <w:bCs/>
                <w:noProof/>
              </w:rPr>
              <w:t>Aims and Objectives</w:t>
            </w:r>
            <w:r w:rsidR="004B3122">
              <w:rPr>
                <w:noProof/>
                <w:webHidden/>
              </w:rPr>
              <w:tab/>
            </w:r>
            <w:r w:rsidR="004B3122">
              <w:rPr>
                <w:noProof/>
                <w:webHidden/>
              </w:rPr>
              <w:fldChar w:fldCharType="begin"/>
            </w:r>
            <w:r w:rsidR="004B3122">
              <w:rPr>
                <w:noProof/>
                <w:webHidden/>
              </w:rPr>
              <w:instrText xml:space="preserve"> PAGEREF _Toc134786625 \h </w:instrText>
            </w:r>
            <w:r w:rsidR="004B3122">
              <w:rPr>
                <w:noProof/>
                <w:webHidden/>
              </w:rPr>
            </w:r>
            <w:r w:rsidR="004B3122">
              <w:rPr>
                <w:noProof/>
                <w:webHidden/>
              </w:rPr>
              <w:fldChar w:fldCharType="separate"/>
            </w:r>
            <w:r w:rsidR="004B3122">
              <w:rPr>
                <w:noProof/>
                <w:webHidden/>
              </w:rPr>
              <w:t>3</w:t>
            </w:r>
            <w:r w:rsidR="004B3122">
              <w:rPr>
                <w:noProof/>
                <w:webHidden/>
              </w:rPr>
              <w:fldChar w:fldCharType="end"/>
            </w:r>
          </w:hyperlink>
        </w:p>
        <w:p w14:paraId="300B3A7C" w14:textId="212EE46E" w:rsidR="004B3122" w:rsidRDefault="00F113F1">
          <w:pPr>
            <w:pStyle w:val="TOC1"/>
            <w:tabs>
              <w:tab w:val="left" w:pos="440"/>
              <w:tab w:val="right" w:leader="dot" w:pos="9016"/>
            </w:tabs>
            <w:rPr>
              <w:rFonts w:eastAsiaTheme="minorEastAsia"/>
              <w:noProof/>
              <w:lang w:eastAsia="en-GB"/>
            </w:rPr>
          </w:pPr>
          <w:hyperlink w:anchor="_Toc134786626" w:history="1">
            <w:r w:rsidR="004B3122" w:rsidRPr="00094CE3">
              <w:rPr>
                <w:rStyle w:val="Hyperlink"/>
                <w:rFonts w:ascii="Arial" w:hAnsi="Arial" w:cs="Arial"/>
                <w:b/>
                <w:bCs/>
                <w:noProof/>
              </w:rPr>
              <w:t>5.</w:t>
            </w:r>
            <w:r w:rsidR="004B3122">
              <w:rPr>
                <w:rFonts w:eastAsiaTheme="minorEastAsia"/>
                <w:noProof/>
                <w:lang w:eastAsia="en-GB"/>
              </w:rPr>
              <w:tab/>
            </w:r>
            <w:r w:rsidR="004B3122" w:rsidRPr="00094CE3">
              <w:rPr>
                <w:rStyle w:val="Hyperlink"/>
                <w:rFonts w:ascii="Arial" w:hAnsi="Arial" w:cs="Arial"/>
                <w:b/>
                <w:bCs/>
                <w:noProof/>
              </w:rPr>
              <w:t>Managerial Responsibilities</w:t>
            </w:r>
            <w:r w:rsidR="004B3122">
              <w:rPr>
                <w:noProof/>
                <w:webHidden/>
              </w:rPr>
              <w:tab/>
            </w:r>
            <w:r w:rsidR="004B3122">
              <w:rPr>
                <w:noProof/>
                <w:webHidden/>
              </w:rPr>
              <w:fldChar w:fldCharType="begin"/>
            </w:r>
            <w:r w:rsidR="004B3122">
              <w:rPr>
                <w:noProof/>
                <w:webHidden/>
              </w:rPr>
              <w:instrText xml:space="preserve"> PAGEREF _Toc134786626 \h </w:instrText>
            </w:r>
            <w:r w:rsidR="004B3122">
              <w:rPr>
                <w:noProof/>
                <w:webHidden/>
              </w:rPr>
            </w:r>
            <w:r w:rsidR="004B3122">
              <w:rPr>
                <w:noProof/>
                <w:webHidden/>
              </w:rPr>
              <w:fldChar w:fldCharType="separate"/>
            </w:r>
            <w:r w:rsidR="004B3122">
              <w:rPr>
                <w:noProof/>
                <w:webHidden/>
              </w:rPr>
              <w:t>4</w:t>
            </w:r>
            <w:r w:rsidR="004B3122">
              <w:rPr>
                <w:noProof/>
                <w:webHidden/>
              </w:rPr>
              <w:fldChar w:fldCharType="end"/>
            </w:r>
          </w:hyperlink>
        </w:p>
        <w:p w14:paraId="39CF67C9" w14:textId="0B22C470" w:rsidR="004B3122" w:rsidRDefault="00F113F1">
          <w:pPr>
            <w:pStyle w:val="TOC1"/>
            <w:tabs>
              <w:tab w:val="left" w:pos="440"/>
              <w:tab w:val="right" w:leader="dot" w:pos="9016"/>
            </w:tabs>
            <w:rPr>
              <w:rFonts w:eastAsiaTheme="minorEastAsia"/>
              <w:noProof/>
              <w:lang w:eastAsia="en-GB"/>
            </w:rPr>
          </w:pPr>
          <w:hyperlink w:anchor="_Toc134786627" w:history="1">
            <w:r w:rsidR="004B3122" w:rsidRPr="00094CE3">
              <w:rPr>
                <w:rStyle w:val="Hyperlink"/>
                <w:rFonts w:ascii="Arial" w:hAnsi="Arial" w:cs="Arial"/>
                <w:b/>
                <w:bCs/>
                <w:noProof/>
              </w:rPr>
              <w:t>6.</w:t>
            </w:r>
            <w:r w:rsidR="004B3122">
              <w:rPr>
                <w:rFonts w:eastAsiaTheme="minorEastAsia"/>
                <w:noProof/>
                <w:lang w:eastAsia="en-GB"/>
              </w:rPr>
              <w:tab/>
            </w:r>
            <w:r w:rsidR="004B3122" w:rsidRPr="00094CE3">
              <w:rPr>
                <w:rStyle w:val="Hyperlink"/>
                <w:rFonts w:ascii="Arial" w:hAnsi="Arial" w:cs="Arial"/>
                <w:b/>
                <w:bCs/>
                <w:noProof/>
              </w:rPr>
              <w:t>Legislative and NHS requirements</w:t>
            </w:r>
            <w:r w:rsidR="004B3122">
              <w:rPr>
                <w:noProof/>
                <w:webHidden/>
              </w:rPr>
              <w:tab/>
            </w:r>
            <w:r w:rsidR="004B3122">
              <w:rPr>
                <w:noProof/>
                <w:webHidden/>
              </w:rPr>
              <w:fldChar w:fldCharType="begin"/>
            </w:r>
            <w:r w:rsidR="004B3122">
              <w:rPr>
                <w:noProof/>
                <w:webHidden/>
              </w:rPr>
              <w:instrText xml:space="preserve"> PAGEREF _Toc134786627 \h </w:instrText>
            </w:r>
            <w:r w:rsidR="004B3122">
              <w:rPr>
                <w:noProof/>
                <w:webHidden/>
              </w:rPr>
            </w:r>
            <w:r w:rsidR="004B3122">
              <w:rPr>
                <w:noProof/>
                <w:webHidden/>
              </w:rPr>
              <w:fldChar w:fldCharType="separate"/>
            </w:r>
            <w:r w:rsidR="004B3122">
              <w:rPr>
                <w:noProof/>
                <w:webHidden/>
              </w:rPr>
              <w:t>4</w:t>
            </w:r>
            <w:r w:rsidR="004B3122">
              <w:rPr>
                <w:noProof/>
                <w:webHidden/>
              </w:rPr>
              <w:fldChar w:fldCharType="end"/>
            </w:r>
          </w:hyperlink>
        </w:p>
        <w:p w14:paraId="64CD6175" w14:textId="31CD8D28" w:rsidR="004B3122" w:rsidRDefault="00F113F1">
          <w:pPr>
            <w:pStyle w:val="TOC1"/>
            <w:tabs>
              <w:tab w:val="left" w:pos="440"/>
              <w:tab w:val="right" w:leader="dot" w:pos="9016"/>
            </w:tabs>
            <w:rPr>
              <w:rFonts w:eastAsiaTheme="minorEastAsia"/>
              <w:noProof/>
              <w:lang w:eastAsia="en-GB"/>
            </w:rPr>
          </w:pPr>
          <w:hyperlink w:anchor="_Toc134786628" w:history="1">
            <w:r w:rsidR="004B3122" w:rsidRPr="00094CE3">
              <w:rPr>
                <w:rStyle w:val="Hyperlink"/>
                <w:rFonts w:ascii="Arial" w:hAnsi="Arial" w:cs="Arial"/>
                <w:b/>
                <w:bCs/>
                <w:noProof/>
              </w:rPr>
              <w:t>7.</w:t>
            </w:r>
            <w:r w:rsidR="004B3122">
              <w:rPr>
                <w:rFonts w:eastAsiaTheme="minorEastAsia"/>
                <w:noProof/>
                <w:lang w:eastAsia="en-GB"/>
              </w:rPr>
              <w:tab/>
            </w:r>
            <w:r w:rsidR="004B3122" w:rsidRPr="00094CE3">
              <w:rPr>
                <w:rStyle w:val="Hyperlink"/>
                <w:rFonts w:ascii="Arial" w:hAnsi="Arial" w:cs="Arial"/>
                <w:b/>
                <w:bCs/>
                <w:noProof/>
              </w:rPr>
              <w:t>Procedure</w:t>
            </w:r>
            <w:r w:rsidR="004B3122">
              <w:rPr>
                <w:noProof/>
                <w:webHidden/>
              </w:rPr>
              <w:tab/>
            </w:r>
            <w:r w:rsidR="004B3122">
              <w:rPr>
                <w:noProof/>
                <w:webHidden/>
              </w:rPr>
              <w:fldChar w:fldCharType="begin"/>
            </w:r>
            <w:r w:rsidR="004B3122">
              <w:rPr>
                <w:noProof/>
                <w:webHidden/>
              </w:rPr>
              <w:instrText xml:space="preserve"> PAGEREF _Toc134786628 \h </w:instrText>
            </w:r>
            <w:r w:rsidR="004B3122">
              <w:rPr>
                <w:noProof/>
                <w:webHidden/>
              </w:rPr>
            </w:r>
            <w:r w:rsidR="004B3122">
              <w:rPr>
                <w:noProof/>
                <w:webHidden/>
              </w:rPr>
              <w:fldChar w:fldCharType="separate"/>
            </w:r>
            <w:r w:rsidR="004B3122">
              <w:rPr>
                <w:noProof/>
                <w:webHidden/>
              </w:rPr>
              <w:t>4</w:t>
            </w:r>
            <w:r w:rsidR="004B3122">
              <w:rPr>
                <w:noProof/>
                <w:webHidden/>
              </w:rPr>
              <w:fldChar w:fldCharType="end"/>
            </w:r>
          </w:hyperlink>
        </w:p>
        <w:p w14:paraId="3620C4BC" w14:textId="20C2024C" w:rsidR="004B3122" w:rsidRDefault="00F113F1">
          <w:pPr>
            <w:pStyle w:val="TOC1"/>
            <w:tabs>
              <w:tab w:val="left" w:pos="440"/>
              <w:tab w:val="right" w:leader="dot" w:pos="9016"/>
            </w:tabs>
            <w:rPr>
              <w:rFonts w:eastAsiaTheme="minorEastAsia"/>
              <w:noProof/>
              <w:lang w:eastAsia="en-GB"/>
            </w:rPr>
          </w:pPr>
          <w:hyperlink w:anchor="_Toc134786629" w:history="1">
            <w:r w:rsidR="004B3122" w:rsidRPr="00094CE3">
              <w:rPr>
                <w:rStyle w:val="Hyperlink"/>
                <w:rFonts w:ascii="Arial" w:hAnsi="Arial" w:cs="Arial"/>
                <w:b/>
                <w:bCs/>
                <w:noProof/>
              </w:rPr>
              <w:t>8.</w:t>
            </w:r>
            <w:r w:rsidR="004B3122">
              <w:rPr>
                <w:rFonts w:eastAsiaTheme="minorEastAsia"/>
                <w:noProof/>
                <w:lang w:eastAsia="en-GB"/>
              </w:rPr>
              <w:tab/>
            </w:r>
            <w:r w:rsidR="004B3122" w:rsidRPr="00094CE3">
              <w:rPr>
                <w:rStyle w:val="Hyperlink"/>
                <w:rFonts w:ascii="Arial" w:hAnsi="Arial" w:cs="Arial"/>
                <w:b/>
                <w:bCs/>
                <w:noProof/>
              </w:rPr>
              <w:t>Children and Young Persons entitled to Section 117</w:t>
            </w:r>
            <w:r w:rsidR="004B3122">
              <w:rPr>
                <w:noProof/>
                <w:webHidden/>
              </w:rPr>
              <w:tab/>
            </w:r>
            <w:r w:rsidR="004B3122">
              <w:rPr>
                <w:noProof/>
                <w:webHidden/>
              </w:rPr>
              <w:fldChar w:fldCharType="begin"/>
            </w:r>
            <w:r w:rsidR="004B3122">
              <w:rPr>
                <w:noProof/>
                <w:webHidden/>
              </w:rPr>
              <w:instrText xml:space="preserve"> PAGEREF _Toc134786629 \h </w:instrText>
            </w:r>
            <w:r w:rsidR="004B3122">
              <w:rPr>
                <w:noProof/>
                <w:webHidden/>
              </w:rPr>
            </w:r>
            <w:r w:rsidR="004B3122">
              <w:rPr>
                <w:noProof/>
                <w:webHidden/>
              </w:rPr>
              <w:fldChar w:fldCharType="separate"/>
            </w:r>
            <w:r w:rsidR="004B3122">
              <w:rPr>
                <w:noProof/>
                <w:webHidden/>
              </w:rPr>
              <w:t>8</w:t>
            </w:r>
            <w:r w:rsidR="004B3122">
              <w:rPr>
                <w:noProof/>
                <w:webHidden/>
              </w:rPr>
              <w:fldChar w:fldCharType="end"/>
            </w:r>
          </w:hyperlink>
        </w:p>
        <w:p w14:paraId="2228241C" w14:textId="556EF221" w:rsidR="004B3122" w:rsidRDefault="00F113F1">
          <w:pPr>
            <w:pStyle w:val="TOC1"/>
            <w:tabs>
              <w:tab w:val="left" w:pos="440"/>
              <w:tab w:val="right" w:leader="dot" w:pos="9016"/>
            </w:tabs>
            <w:rPr>
              <w:rFonts w:eastAsiaTheme="minorEastAsia"/>
              <w:noProof/>
              <w:lang w:eastAsia="en-GB"/>
            </w:rPr>
          </w:pPr>
          <w:hyperlink w:anchor="_Toc134786630" w:history="1">
            <w:r w:rsidR="004B3122" w:rsidRPr="00094CE3">
              <w:rPr>
                <w:rStyle w:val="Hyperlink"/>
                <w:rFonts w:ascii="Arial" w:hAnsi="Arial" w:cs="Arial"/>
                <w:b/>
                <w:bCs/>
                <w:noProof/>
              </w:rPr>
              <w:t>9.</w:t>
            </w:r>
            <w:r w:rsidR="004B3122">
              <w:rPr>
                <w:rFonts w:eastAsiaTheme="minorEastAsia"/>
                <w:noProof/>
                <w:lang w:eastAsia="en-GB"/>
              </w:rPr>
              <w:tab/>
            </w:r>
            <w:r w:rsidR="004B3122" w:rsidRPr="00094CE3">
              <w:rPr>
                <w:rStyle w:val="Hyperlink"/>
                <w:rFonts w:ascii="Arial" w:hAnsi="Arial" w:cs="Arial"/>
                <w:b/>
                <w:bCs/>
                <w:noProof/>
              </w:rPr>
              <w:t>Charging for Aftercare Services</w:t>
            </w:r>
            <w:r w:rsidR="004B3122">
              <w:rPr>
                <w:noProof/>
                <w:webHidden/>
              </w:rPr>
              <w:tab/>
            </w:r>
            <w:r w:rsidR="004B3122">
              <w:rPr>
                <w:noProof/>
                <w:webHidden/>
              </w:rPr>
              <w:fldChar w:fldCharType="begin"/>
            </w:r>
            <w:r w:rsidR="004B3122">
              <w:rPr>
                <w:noProof/>
                <w:webHidden/>
              </w:rPr>
              <w:instrText xml:space="preserve"> PAGEREF _Toc134786630 \h </w:instrText>
            </w:r>
            <w:r w:rsidR="004B3122">
              <w:rPr>
                <w:noProof/>
                <w:webHidden/>
              </w:rPr>
            </w:r>
            <w:r w:rsidR="004B3122">
              <w:rPr>
                <w:noProof/>
                <w:webHidden/>
              </w:rPr>
              <w:fldChar w:fldCharType="separate"/>
            </w:r>
            <w:r w:rsidR="004B3122">
              <w:rPr>
                <w:noProof/>
                <w:webHidden/>
              </w:rPr>
              <w:t>8</w:t>
            </w:r>
            <w:r w:rsidR="004B3122">
              <w:rPr>
                <w:noProof/>
                <w:webHidden/>
              </w:rPr>
              <w:fldChar w:fldCharType="end"/>
            </w:r>
          </w:hyperlink>
        </w:p>
        <w:p w14:paraId="78FE0868" w14:textId="2A2F2273" w:rsidR="004B3122" w:rsidRDefault="00F113F1">
          <w:pPr>
            <w:pStyle w:val="TOC1"/>
            <w:tabs>
              <w:tab w:val="left" w:pos="660"/>
              <w:tab w:val="right" w:leader="dot" w:pos="9016"/>
            </w:tabs>
            <w:rPr>
              <w:rFonts w:eastAsiaTheme="minorEastAsia"/>
              <w:noProof/>
              <w:lang w:eastAsia="en-GB"/>
            </w:rPr>
          </w:pPr>
          <w:hyperlink w:anchor="_Toc134786631" w:history="1">
            <w:r w:rsidR="004B3122" w:rsidRPr="00094CE3">
              <w:rPr>
                <w:rStyle w:val="Hyperlink"/>
                <w:rFonts w:ascii="Arial" w:hAnsi="Arial" w:cs="Arial"/>
                <w:b/>
                <w:bCs/>
                <w:noProof/>
              </w:rPr>
              <w:t xml:space="preserve">10. </w:t>
            </w:r>
            <w:r w:rsidR="004B3122">
              <w:rPr>
                <w:rFonts w:eastAsiaTheme="minorEastAsia"/>
                <w:noProof/>
                <w:lang w:eastAsia="en-GB"/>
              </w:rPr>
              <w:tab/>
            </w:r>
            <w:r w:rsidR="004B3122" w:rsidRPr="00094CE3">
              <w:rPr>
                <w:rStyle w:val="Hyperlink"/>
                <w:rFonts w:ascii="Arial" w:hAnsi="Arial" w:cs="Arial"/>
                <w:b/>
                <w:bCs/>
                <w:noProof/>
              </w:rPr>
              <w:t>Ordinary Residence &amp; Moving Areas</w:t>
            </w:r>
            <w:r w:rsidR="004B3122">
              <w:rPr>
                <w:noProof/>
                <w:webHidden/>
              </w:rPr>
              <w:tab/>
            </w:r>
            <w:r w:rsidR="004B3122">
              <w:rPr>
                <w:noProof/>
                <w:webHidden/>
              </w:rPr>
              <w:fldChar w:fldCharType="begin"/>
            </w:r>
            <w:r w:rsidR="004B3122">
              <w:rPr>
                <w:noProof/>
                <w:webHidden/>
              </w:rPr>
              <w:instrText xml:space="preserve"> PAGEREF _Toc134786631 \h </w:instrText>
            </w:r>
            <w:r w:rsidR="004B3122">
              <w:rPr>
                <w:noProof/>
                <w:webHidden/>
              </w:rPr>
            </w:r>
            <w:r w:rsidR="004B3122">
              <w:rPr>
                <w:noProof/>
                <w:webHidden/>
              </w:rPr>
              <w:fldChar w:fldCharType="separate"/>
            </w:r>
            <w:r w:rsidR="004B3122">
              <w:rPr>
                <w:noProof/>
                <w:webHidden/>
              </w:rPr>
              <w:t>10</w:t>
            </w:r>
            <w:r w:rsidR="004B3122">
              <w:rPr>
                <w:noProof/>
                <w:webHidden/>
              </w:rPr>
              <w:fldChar w:fldCharType="end"/>
            </w:r>
          </w:hyperlink>
        </w:p>
        <w:p w14:paraId="44956D80" w14:textId="3B80C393" w:rsidR="004B3122" w:rsidRDefault="00F113F1">
          <w:pPr>
            <w:pStyle w:val="TOC1"/>
            <w:tabs>
              <w:tab w:val="left" w:pos="660"/>
              <w:tab w:val="right" w:leader="dot" w:pos="9016"/>
            </w:tabs>
            <w:rPr>
              <w:rFonts w:eastAsiaTheme="minorEastAsia"/>
              <w:noProof/>
              <w:lang w:eastAsia="en-GB"/>
            </w:rPr>
          </w:pPr>
          <w:hyperlink w:anchor="_Toc134786632" w:history="1">
            <w:r w:rsidR="004B3122" w:rsidRPr="00094CE3">
              <w:rPr>
                <w:rStyle w:val="Hyperlink"/>
                <w:rFonts w:ascii="Arial" w:hAnsi="Arial" w:cs="Arial"/>
                <w:b/>
                <w:bCs/>
                <w:noProof/>
              </w:rPr>
              <w:t>11.</w:t>
            </w:r>
            <w:r w:rsidR="004B3122">
              <w:rPr>
                <w:rFonts w:eastAsiaTheme="minorEastAsia"/>
                <w:noProof/>
                <w:lang w:eastAsia="en-GB"/>
              </w:rPr>
              <w:tab/>
            </w:r>
            <w:r w:rsidR="004B3122" w:rsidRPr="00094CE3">
              <w:rPr>
                <w:rStyle w:val="Hyperlink"/>
                <w:rFonts w:ascii="Arial" w:hAnsi="Arial" w:cs="Arial"/>
                <w:b/>
                <w:bCs/>
                <w:noProof/>
              </w:rPr>
              <w:t>Direct Payments</w:t>
            </w:r>
            <w:r w:rsidR="004B3122">
              <w:rPr>
                <w:noProof/>
                <w:webHidden/>
              </w:rPr>
              <w:tab/>
            </w:r>
            <w:r w:rsidR="004B3122">
              <w:rPr>
                <w:noProof/>
                <w:webHidden/>
              </w:rPr>
              <w:fldChar w:fldCharType="begin"/>
            </w:r>
            <w:r w:rsidR="004B3122">
              <w:rPr>
                <w:noProof/>
                <w:webHidden/>
              </w:rPr>
              <w:instrText xml:space="preserve"> PAGEREF _Toc134786632 \h </w:instrText>
            </w:r>
            <w:r w:rsidR="004B3122">
              <w:rPr>
                <w:noProof/>
                <w:webHidden/>
              </w:rPr>
            </w:r>
            <w:r w:rsidR="004B3122">
              <w:rPr>
                <w:noProof/>
                <w:webHidden/>
              </w:rPr>
              <w:fldChar w:fldCharType="separate"/>
            </w:r>
            <w:r w:rsidR="004B3122">
              <w:rPr>
                <w:noProof/>
                <w:webHidden/>
              </w:rPr>
              <w:t>11</w:t>
            </w:r>
            <w:r w:rsidR="004B3122">
              <w:rPr>
                <w:noProof/>
                <w:webHidden/>
              </w:rPr>
              <w:fldChar w:fldCharType="end"/>
            </w:r>
          </w:hyperlink>
        </w:p>
        <w:p w14:paraId="33969ABF" w14:textId="39CAE426" w:rsidR="004B3122" w:rsidRDefault="00F113F1">
          <w:pPr>
            <w:pStyle w:val="TOC1"/>
            <w:tabs>
              <w:tab w:val="left" w:pos="660"/>
              <w:tab w:val="right" w:leader="dot" w:pos="9016"/>
            </w:tabs>
            <w:rPr>
              <w:rFonts w:eastAsiaTheme="minorEastAsia"/>
              <w:noProof/>
              <w:lang w:eastAsia="en-GB"/>
            </w:rPr>
          </w:pPr>
          <w:hyperlink w:anchor="_Toc134786633" w:history="1">
            <w:r w:rsidR="004B3122" w:rsidRPr="00094CE3">
              <w:rPr>
                <w:rStyle w:val="Hyperlink"/>
                <w:rFonts w:ascii="Arial" w:hAnsi="Arial" w:cs="Arial"/>
                <w:b/>
                <w:bCs/>
                <w:noProof/>
              </w:rPr>
              <w:t>12.</w:t>
            </w:r>
            <w:r w:rsidR="004B3122">
              <w:rPr>
                <w:rFonts w:eastAsiaTheme="minorEastAsia"/>
                <w:noProof/>
                <w:lang w:eastAsia="en-GB"/>
              </w:rPr>
              <w:tab/>
            </w:r>
            <w:r w:rsidR="004B3122" w:rsidRPr="00094CE3">
              <w:rPr>
                <w:rStyle w:val="Hyperlink"/>
                <w:rFonts w:ascii="Arial" w:hAnsi="Arial" w:cs="Arial"/>
                <w:b/>
                <w:bCs/>
                <w:noProof/>
              </w:rPr>
              <w:t>Third Party Payments</w:t>
            </w:r>
            <w:r w:rsidR="004B3122">
              <w:rPr>
                <w:noProof/>
                <w:webHidden/>
              </w:rPr>
              <w:tab/>
            </w:r>
            <w:r w:rsidR="004B3122">
              <w:rPr>
                <w:noProof/>
                <w:webHidden/>
              </w:rPr>
              <w:fldChar w:fldCharType="begin"/>
            </w:r>
            <w:r w:rsidR="004B3122">
              <w:rPr>
                <w:noProof/>
                <w:webHidden/>
              </w:rPr>
              <w:instrText xml:space="preserve"> PAGEREF _Toc134786633 \h </w:instrText>
            </w:r>
            <w:r w:rsidR="004B3122">
              <w:rPr>
                <w:noProof/>
                <w:webHidden/>
              </w:rPr>
            </w:r>
            <w:r w:rsidR="004B3122">
              <w:rPr>
                <w:noProof/>
                <w:webHidden/>
              </w:rPr>
              <w:fldChar w:fldCharType="separate"/>
            </w:r>
            <w:r w:rsidR="004B3122">
              <w:rPr>
                <w:noProof/>
                <w:webHidden/>
              </w:rPr>
              <w:t>11</w:t>
            </w:r>
            <w:r w:rsidR="004B3122">
              <w:rPr>
                <w:noProof/>
                <w:webHidden/>
              </w:rPr>
              <w:fldChar w:fldCharType="end"/>
            </w:r>
          </w:hyperlink>
        </w:p>
        <w:p w14:paraId="33BB63A9" w14:textId="00F6AC0A" w:rsidR="004B3122" w:rsidRDefault="00F113F1">
          <w:pPr>
            <w:pStyle w:val="TOC1"/>
            <w:tabs>
              <w:tab w:val="left" w:pos="660"/>
              <w:tab w:val="right" w:leader="dot" w:pos="9016"/>
            </w:tabs>
            <w:rPr>
              <w:rFonts w:eastAsiaTheme="minorEastAsia"/>
              <w:noProof/>
              <w:lang w:eastAsia="en-GB"/>
            </w:rPr>
          </w:pPr>
          <w:hyperlink w:anchor="_Toc134786634" w:history="1">
            <w:r w:rsidR="004B3122" w:rsidRPr="00094CE3">
              <w:rPr>
                <w:rStyle w:val="Hyperlink"/>
                <w:rFonts w:ascii="Arial" w:hAnsi="Arial" w:cs="Arial"/>
                <w:b/>
                <w:bCs/>
                <w:noProof/>
              </w:rPr>
              <w:t>13.</w:t>
            </w:r>
            <w:r w:rsidR="004B3122">
              <w:rPr>
                <w:rFonts w:eastAsiaTheme="minorEastAsia"/>
                <w:noProof/>
                <w:lang w:eastAsia="en-GB"/>
              </w:rPr>
              <w:tab/>
            </w:r>
            <w:r w:rsidR="004B3122" w:rsidRPr="00094CE3">
              <w:rPr>
                <w:rStyle w:val="Hyperlink"/>
                <w:rFonts w:ascii="Arial" w:hAnsi="Arial" w:cs="Arial"/>
                <w:b/>
                <w:bCs/>
                <w:noProof/>
              </w:rPr>
              <w:t>Ending S117 Aftercare</w:t>
            </w:r>
            <w:r w:rsidR="004B3122">
              <w:rPr>
                <w:noProof/>
                <w:webHidden/>
              </w:rPr>
              <w:tab/>
            </w:r>
            <w:r w:rsidR="004B3122">
              <w:rPr>
                <w:noProof/>
                <w:webHidden/>
              </w:rPr>
              <w:fldChar w:fldCharType="begin"/>
            </w:r>
            <w:r w:rsidR="004B3122">
              <w:rPr>
                <w:noProof/>
                <w:webHidden/>
              </w:rPr>
              <w:instrText xml:space="preserve"> PAGEREF _Toc134786634 \h </w:instrText>
            </w:r>
            <w:r w:rsidR="004B3122">
              <w:rPr>
                <w:noProof/>
                <w:webHidden/>
              </w:rPr>
            </w:r>
            <w:r w:rsidR="004B3122">
              <w:rPr>
                <w:noProof/>
                <w:webHidden/>
              </w:rPr>
              <w:fldChar w:fldCharType="separate"/>
            </w:r>
            <w:r w:rsidR="004B3122">
              <w:rPr>
                <w:noProof/>
                <w:webHidden/>
              </w:rPr>
              <w:t>11</w:t>
            </w:r>
            <w:r w:rsidR="004B3122">
              <w:rPr>
                <w:noProof/>
                <w:webHidden/>
              </w:rPr>
              <w:fldChar w:fldCharType="end"/>
            </w:r>
          </w:hyperlink>
        </w:p>
        <w:p w14:paraId="36EB0ECE" w14:textId="7A802135" w:rsidR="004B3122" w:rsidRDefault="00F113F1">
          <w:pPr>
            <w:pStyle w:val="TOC1"/>
            <w:tabs>
              <w:tab w:val="left" w:pos="660"/>
              <w:tab w:val="right" w:leader="dot" w:pos="9016"/>
            </w:tabs>
            <w:rPr>
              <w:rFonts w:eastAsiaTheme="minorEastAsia"/>
              <w:noProof/>
              <w:lang w:eastAsia="en-GB"/>
            </w:rPr>
          </w:pPr>
          <w:hyperlink w:anchor="_Toc134786635" w:history="1">
            <w:r w:rsidR="004B3122" w:rsidRPr="00094CE3">
              <w:rPr>
                <w:rStyle w:val="Hyperlink"/>
                <w:rFonts w:ascii="Arial" w:hAnsi="Arial" w:cs="Arial"/>
                <w:b/>
                <w:bCs/>
                <w:noProof/>
              </w:rPr>
              <w:t>14.</w:t>
            </w:r>
            <w:r w:rsidR="004B3122">
              <w:rPr>
                <w:rFonts w:eastAsiaTheme="minorEastAsia"/>
                <w:noProof/>
                <w:lang w:eastAsia="en-GB"/>
              </w:rPr>
              <w:tab/>
            </w:r>
            <w:r w:rsidR="004B3122" w:rsidRPr="00094CE3">
              <w:rPr>
                <w:rStyle w:val="Hyperlink"/>
                <w:rFonts w:ascii="Arial" w:hAnsi="Arial" w:cs="Arial"/>
                <w:b/>
                <w:bCs/>
                <w:noProof/>
              </w:rPr>
              <w:t>Training Implications</w:t>
            </w:r>
            <w:r w:rsidR="004B3122">
              <w:rPr>
                <w:noProof/>
                <w:webHidden/>
              </w:rPr>
              <w:tab/>
            </w:r>
            <w:r w:rsidR="004B3122">
              <w:rPr>
                <w:noProof/>
                <w:webHidden/>
              </w:rPr>
              <w:fldChar w:fldCharType="begin"/>
            </w:r>
            <w:r w:rsidR="004B3122">
              <w:rPr>
                <w:noProof/>
                <w:webHidden/>
              </w:rPr>
              <w:instrText xml:space="preserve"> PAGEREF _Toc134786635 \h </w:instrText>
            </w:r>
            <w:r w:rsidR="004B3122">
              <w:rPr>
                <w:noProof/>
                <w:webHidden/>
              </w:rPr>
            </w:r>
            <w:r w:rsidR="004B3122">
              <w:rPr>
                <w:noProof/>
                <w:webHidden/>
              </w:rPr>
              <w:fldChar w:fldCharType="separate"/>
            </w:r>
            <w:r w:rsidR="004B3122">
              <w:rPr>
                <w:noProof/>
                <w:webHidden/>
              </w:rPr>
              <w:t>13</w:t>
            </w:r>
            <w:r w:rsidR="004B3122">
              <w:rPr>
                <w:noProof/>
                <w:webHidden/>
              </w:rPr>
              <w:fldChar w:fldCharType="end"/>
            </w:r>
          </w:hyperlink>
        </w:p>
        <w:p w14:paraId="72A3C874" w14:textId="5D7138E5" w:rsidR="004B3122" w:rsidRDefault="00F113F1">
          <w:pPr>
            <w:pStyle w:val="TOC1"/>
            <w:tabs>
              <w:tab w:val="left" w:pos="660"/>
              <w:tab w:val="right" w:leader="dot" w:pos="9016"/>
            </w:tabs>
            <w:rPr>
              <w:rFonts w:eastAsiaTheme="minorEastAsia"/>
              <w:noProof/>
              <w:lang w:eastAsia="en-GB"/>
            </w:rPr>
          </w:pPr>
          <w:hyperlink w:anchor="_Toc134786636" w:history="1">
            <w:r w:rsidR="004B3122" w:rsidRPr="00094CE3">
              <w:rPr>
                <w:rStyle w:val="Hyperlink"/>
                <w:rFonts w:ascii="Arial" w:hAnsi="Arial" w:cs="Arial"/>
                <w:b/>
                <w:bCs/>
                <w:noProof/>
              </w:rPr>
              <w:t>15.</w:t>
            </w:r>
            <w:r w:rsidR="004B3122">
              <w:rPr>
                <w:rFonts w:eastAsiaTheme="minorEastAsia"/>
                <w:noProof/>
                <w:lang w:eastAsia="en-GB"/>
              </w:rPr>
              <w:tab/>
            </w:r>
            <w:r w:rsidR="004B3122" w:rsidRPr="00094CE3">
              <w:rPr>
                <w:rStyle w:val="Hyperlink"/>
                <w:rFonts w:ascii="Arial" w:hAnsi="Arial" w:cs="Arial"/>
                <w:b/>
                <w:bCs/>
                <w:noProof/>
              </w:rPr>
              <w:t>Audit</w:t>
            </w:r>
            <w:r w:rsidR="004B3122">
              <w:rPr>
                <w:noProof/>
                <w:webHidden/>
              </w:rPr>
              <w:tab/>
            </w:r>
            <w:r w:rsidR="004B3122">
              <w:rPr>
                <w:noProof/>
                <w:webHidden/>
              </w:rPr>
              <w:fldChar w:fldCharType="begin"/>
            </w:r>
            <w:r w:rsidR="004B3122">
              <w:rPr>
                <w:noProof/>
                <w:webHidden/>
              </w:rPr>
              <w:instrText xml:space="preserve"> PAGEREF _Toc134786636 \h </w:instrText>
            </w:r>
            <w:r w:rsidR="004B3122">
              <w:rPr>
                <w:noProof/>
                <w:webHidden/>
              </w:rPr>
            </w:r>
            <w:r w:rsidR="004B3122">
              <w:rPr>
                <w:noProof/>
                <w:webHidden/>
              </w:rPr>
              <w:fldChar w:fldCharType="separate"/>
            </w:r>
            <w:r w:rsidR="004B3122">
              <w:rPr>
                <w:noProof/>
                <w:webHidden/>
              </w:rPr>
              <w:t>13</w:t>
            </w:r>
            <w:r w:rsidR="004B3122">
              <w:rPr>
                <w:noProof/>
                <w:webHidden/>
              </w:rPr>
              <w:fldChar w:fldCharType="end"/>
            </w:r>
          </w:hyperlink>
        </w:p>
        <w:p w14:paraId="104DFF42" w14:textId="01340AD3" w:rsidR="004B3122" w:rsidRDefault="00F113F1">
          <w:pPr>
            <w:pStyle w:val="TOC1"/>
            <w:tabs>
              <w:tab w:val="left" w:pos="660"/>
              <w:tab w:val="right" w:leader="dot" w:pos="9016"/>
            </w:tabs>
            <w:rPr>
              <w:rFonts w:eastAsiaTheme="minorEastAsia"/>
              <w:noProof/>
              <w:lang w:eastAsia="en-GB"/>
            </w:rPr>
          </w:pPr>
          <w:hyperlink w:anchor="_Toc134786637" w:history="1">
            <w:r w:rsidR="004B3122" w:rsidRPr="00094CE3">
              <w:rPr>
                <w:rStyle w:val="Hyperlink"/>
                <w:rFonts w:ascii="Arial" w:hAnsi="Arial" w:cs="Arial"/>
                <w:b/>
                <w:bCs/>
                <w:noProof/>
              </w:rPr>
              <w:t>16.</w:t>
            </w:r>
            <w:r w:rsidR="004B3122">
              <w:rPr>
                <w:rFonts w:eastAsiaTheme="minorEastAsia"/>
                <w:noProof/>
                <w:lang w:eastAsia="en-GB"/>
              </w:rPr>
              <w:tab/>
            </w:r>
            <w:r w:rsidR="004B3122" w:rsidRPr="00094CE3">
              <w:rPr>
                <w:rStyle w:val="Hyperlink"/>
                <w:rFonts w:ascii="Arial" w:hAnsi="Arial" w:cs="Arial"/>
                <w:b/>
                <w:bCs/>
                <w:noProof/>
              </w:rPr>
              <w:t>Retention/Archiving</w:t>
            </w:r>
            <w:r w:rsidR="004B3122">
              <w:rPr>
                <w:noProof/>
                <w:webHidden/>
              </w:rPr>
              <w:tab/>
            </w:r>
            <w:r w:rsidR="004B3122">
              <w:rPr>
                <w:noProof/>
                <w:webHidden/>
              </w:rPr>
              <w:fldChar w:fldCharType="begin"/>
            </w:r>
            <w:r w:rsidR="004B3122">
              <w:rPr>
                <w:noProof/>
                <w:webHidden/>
              </w:rPr>
              <w:instrText xml:space="preserve"> PAGEREF _Toc134786637 \h </w:instrText>
            </w:r>
            <w:r w:rsidR="004B3122">
              <w:rPr>
                <w:noProof/>
                <w:webHidden/>
              </w:rPr>
            </w:r>
            <w:r w:rsidR="004B3122">
              <w:rPr>
                <w:noProof/>
                <w:webHidden/>
              </w:rPr>
              <w:fldChar w:fldCharType="separate"/>
            </w:r>
            <w:r w:rsidR="004B3122">
              <w:rPr>
                <w:noProof/>
                <w:webHidden/>
              </w:rPr>
              <w:t>13</w:t>
            </w:r>
            <w:r w:rsidR="004B3122">
              <w:rPr>
                <w:noProof/>
                <w:webHidden/>
              </w:rPr>
              <w:fldChar w:fldCharType="end"/>
            </w:r>
          </w:hyperlink>
        </w:p>
        <w:p w14:paraId="1B4636DC" w14:textId="392A354D" w:rsidR="004B3122" w:rsidRDefault="00F113F1">
          <w:pPr>
            <w:pStyle w:val="TOC1"/>
            <w:tabs>
              <w:tab w:val="left" w:pos="660"/>
              <w:tab w:val="right" w:leader="dot" w:pos="9016"/>
            </w:tabs>
            <w:rPr>
              <w:rFonts w:eastAsiaTheme="minorEastAsia"/>
              <w:noProof/>
              <w:lang w:eastAsia="en-GB"/>
            </w:rPr>
          </w:pPr>
          <w:hyperlink w:anchor="_Toc134786638" w:history="1">
            <w:r w:rsidR="004B3122" w:rsidRPr="00094CE3">
              <w:rPr>
                <w:rStyle w:val="Hyperlink"/>
                <w:rFonts w:ascii="Arial" w:hAnsi="Arial" w:cs="Arial"/>
                <w:b/>
                <w:bCs/>
                <w:noProof/>
              </w:rPr>
              <w:t>17.</w:t>
            </w:r>
            <w:r w:rsidR="004B3122">
              <w:rPr>
                <w:rFonts w:eastAsiaTheme="minorEastAsia"/>
                <w:noProof/>
                <w:lang w:eastAsia="en-GB"/>
              </w:rPr>
              <w:tab/>
            </w:r>
            <w:r w:rsidR="004B3122" w:rsidRPr="00094CE3">
              <w:rPr>
                <w:rStyle w:val="Hyperlink"/>
                <w:rFonts w:ascii="Arial" w:hAnsi="Arial" w:cs="Arial"/>
                <w:b/>
                <w:bCs/>
                <w:noProof/>
              </w:rPr>
              <w:t>Non-Conformance</w:t>
            </w:r>
            <w:r w:rsidR="004B3122">
              <w:rPr>
                <w:noProof/>
                <w:webHidden/>
              </w:rPr>
              <w:tab/>
            </w:r>
            <w:r w:rsidR="004B3122">
              <w:rPr>
                <w:noProof/>
                <w:webHidden/>
              </w:rPr>
              <w:fldChar w:fldCharType="begin"/>
            </w:r>
            <w:r w:rsidR="004B3122">
              <w:rPr>
                <w:noProof/>
                <w:webHidden/>
              </w:rPr>
              <w:instrText xml:space="preserve"> PAGEREF _Toc134786638 \h </w:instrText>
            </w:r>
            <w:r w:rsidR="004B3122">
              <w:rPr>
                <w:noProof/>
                <w:webHidden/>
              </w:rPr>
            </w:r>
            <w:r w:rsidR="004B3122">
              <w:rPr>
                <w:noProof/>
                <w:webHidden/>
              </w:rPr>
              <w:fldChar w:fldCharType="separate"/>
            </w:r>
            <w:r w:rsidR="004B3122">
              <w:rPr>
                <w:noProof/>
                <w:webHidden/>
              </w:rPr>
              <w:t>13</w:t>
            </w:r>
            <w:r w:rsidR="004B3122">
              <w:rPr>
                <w:noProof/>
                <w:webHidden/>
              </w:rPr>
              <w:fldChar w:fldCharType="end"/>
            </w:r>
          </w:hyperlink>
        </w:p>
        <w:p w14:paraId="6FB34C04" w14:textId="386C874A" w:rsidR="004B3122" w:rsidRDefault="00F113F1">
          <w:pPr>
            <w:pStyle w:val="TOC1"/>
            <w:tabs>
              <w:tab w:val="left" w:pos="660"/>
              <w:tab w:val="right" w:leader="dot" w:pos="9016"/>
            </w:tabs>
            <w:rPr>
              <w:rFonts w:eastAsiaTheme="minorEastAsia"/>
              <w:noProof/>
              <w:lang w:eastAsia="en-GB"/>
            </w:rPr>
          </w:pPr>
          <w:hyperlink w:anchor="_Toc134786639" w:history="1">
            <w:r w:rsidR="004B3122" w:rsidRPr="00094CE3">
              <w:rPr>
                <w:rStyle w:val="Hyperlink"/>
                <w:rFonts w:ascii="Arial" w:hAnsi="Arial" w:cs="Arial"/>
                <w:b/>
                <w:bCs/>
                <w:noProof/>
              </w:rPr>
              <w:t>18.</w:t>
            </w:r>
            <w:r w:rsidR="004B3122">
              <w:rPr>
                <w:rFonts w:eastAsiaTheme="minorEastAsia"/>
                <w:noProof/>
                <w:lang w:eastAsia="en-GB"/>
              </w:rPr>
              <w:tab/>
            </w:r>
            <w:r w:rsidR="004B3122" w:rsidRPr="00094CE3">
              <w:rPr>
                <w:rStyle w:val="Hyperlink"/>
                <w:rFonts w:ascii="Arial" w:hAnsi="Arial" w:cs="Arial"/>
                <w:b/>
                <w:bCs/>
                <w:noProof/>
              </w:rPr>
              <w:t>References</w:t>
            </w:r>
            <w:r w:rsidR="004B3122">
              <w:rPr>
                <w:noProof/>
                <w:webHidden/>
              </w:rPr>
              <w:tab/>
            </w:r>
            <w:r w:rsidR="004B3122">
              <w:rPr>
                <w:noProof/>
                <w:webHidden/>
              </w:rPr>
              <w:fldChar w:fldCharType="begin"/>
            </w:r>
            <w:r w:rsidR="004B3122">
              <w:rPr>
                <w:noProof/>
                <w:webHidden/>
              </w:rPr>
              <w:instrText xml:space="preserve"> PAGEREF _Toc134786639 \h </w:instrText>
            </w:r>
            <w:r w:rsidR="004B3122">
              <w:rPr>
                <w:noProof/>
                <w:webHidden/>
              </w:rPr>
            </w:r>
            <w:r w:rsidR="004B3122">
              <w:rPr>
                <w:noProof/>
                <w:webHidden/>
              </w:rPr>
              <w:fldChar w:fldCharType="separate"/>
            </w:r>
            <w:r w:rsidR="004B3122">
              <w:rPr>
                <w:noProof/>
                <w:webHidden/>
              </w:rPr>
              <w:t>13</w:t>
            </w:r>
            <w:r w:rsidR="004B3122">
              <w:rPr>
                <w:noProof/>
                <w:webHidden/>
              </w:rPr>
              <w:fldChar w:fldCharType="end"/>
            </w:r>
          </w:hyperlink>
        </w:p>
        <w:p w14:paraId="4C783B33" w14:textId="5EB4E184" w:rsidR="004B3122" w:rsidRDefault="00F113F1">
          <w:pPr>
            <w:pStyle w:val="TOC1"/>
            <w:tabs>
              <w:tab w:val="left" w:pos="660"/>
              <w:tab w:val="right" w:leader="dot" w:pos="9016"/>
            </w:tabs>
            <w:rPr>
              <w:rFonts w:eastAsiaTheme="minorEastAsia"/>
              <w:noProof/>
              <w:lang w:eastAsia="en-GB"/>
            </w:rPr>
          </w:pPr>
          <w:hyperlink w:anchor="_Toc134786640" w:history="1">
            <w:r w:rsidR="004B3122" w:rsidRPr="00094CE3">
              <w:rPr>
                <w:rStyle w:val="Hyperlink"/>
                <w:rFonts w:ascii="Arial" w:hAnsi="Arial" w:cs="Arial"/>
                <w:b/>
                <w:bCs/>
                <w:noProof/>
              </w:rPr>
              <w:t>19.</w:t>
            </w:r>
            <w:r w:rsidR="004B3122">
              <w:rPr>
                <w:rFonts w:eastAsiaTheme="minorEastAsia"/>
                <w:noProof/>
                <w:lang w:eastAsia="en-GB"/>
              </w:rPr>
              <w:tab/>
            </w:r>
            <w:r w:rsidR="004B3122" w:rsidRPr="00094CE3">
              <w:rPr>
                <w:rStyle w:val="Hyperlink"/>
                <w:rFonts w:ascii="Arial" w:hAnsi="Arial" w:cs="Arial"/>
                <w:b/>
                <w:bCs/>
                <w:noProof/>
              </w:rPr>
              <w:t>Appendices</w:t>
            </w:r>
            <w:r w:rsidR="004B3122">
              <w:rPr>
                <w:noProof/>
                <w:webHidden/>
              </w:rPr>
              <w:tab/>
            </w:r>
            <w:r w:rsidR="004B3122">
              <w:rPr>
                <w:noProof/>
                <w:webHidden/>
              </w:rPr>
              <w:fldChar w:fldCharType="begin"/>
            </w:r>
            <w:r w:rsidR="004B3122">
              <w:rPr>
                <w:noProof/>
                <w:webHidden/>
              </w:rPr>
              <w:instrText xml:space="preserve"> PAGEREF _Toc134786640 \h </w:instrText>
            </w:r>
            <w:r w:rsidR="004B3122">
              <w:rPr>
                <w:noProof/>
                <w:webHidden/>
              </w:rPr>
            </w:r>
            <w:r w:rsidR="004B3122">
              <w:rPr>
                <w:noProof/>
                <w:webHidden/>
              </w:rPr>
              <w:fldChar w:fldCharType="separate"/>
            </w:r>
            <w:r w:rsidR="004B3122">
              <w:rPr>
                <w:noProof/>
                <w:webHidden/>
              </w:rPr>
              <w:t>14</w:t>
            </w:r>
            <w:r w:rsidR="004B3122">
              <w:rPr>
                <w:noProof/>
                <w:webHidden/>
              </w:rPr>
              <w:fldChar w:fldCharType="end"/>
            </w:r>
          </w:hyperlink>
        </w:p>
        <w:p w14:paraId="3F0B7D4C" w14:textId="3B83F635" w:rsidR="002F0693" w:rsidRPr="00AF3616" w:rsidRDefault="002F0693">
          <w:pPr>
            <w:rPr>
              <w:rFonts w:ascii="Arial" w:hAnsi="Arial" w:cs="Arial"/>
            </w:rPr>
          </w:pPr>
          <w:r w:rsidRPr="00AF3616">
            <w:rPr>
              <w:rFonts w:ascii="Arial" w:hAnsi="Arial" w:cs="Arial"/>
              <w:b/>
              <w:bCs/>
            </w:rPr>
            <w:fldChar w:fldCharType="end"/>
          </w:r>
        </w:p>
      </w:sdtContent>
    </w:sdt>
    <w:p w14:paraId="690535D9" w14:textId="77777777" w:rsidR="007F5152" w:rsidRPr="00AF3616" w:rsidRDefault="007F5152" w:rsidP="00CA7C08">
      <w:pPr>
        <w:pStyle w:val="ListParagraph"/>
        <w:ind w:left="0"/>
        <w:rPr>
          <w:rFonts w:ascii="Arial" w:hAnsi="Arial" w:cs="Arial"/>
          <w:bCs/>
        </w:rPr>
        <w:sectPr w:rsidR="007F5152" w:rsidRPr="00AF3616" w:rsidSect="004B3122">
          <w:headerReference w:type="default" r:id="rId13"/>
          <w:footerReference w:type="default" r:id="rId14"/>
          <w:pgSz w:w="11906" w:h="16838" w:code="9"/>
          <w:pgMar w:top="1440" w:right="1440" w:bottom="1440" w:left="1440" w:header="568" w:footer="708" w:gutter="0"/>
          <w:cols w:space="708"/>
          <w:docGrid w:linePitch="360"/>
        </w:sectPr>
      </w:pPr>
    </w:p>
    <w:p w14:paraId="5F203A04" w14:textId="77777777" w:rsidR="00CA7C08" w:rsidRPr="00AF3616" w:rsidRDefault="00CA7C08" w:rsidP="00CA7C08">
      <w:pPr>
        <w:pStyle w:val="ListParagraph"/>
        <w:ind w:left="0"/>
        <w:rPr>
          <w:rFonts w:ascii="Arial" w:hAnsi="Arial" w:cs="Arial"/>
          <w:b/>
          <w:bCs/>
          <w:sz w:val="24"/>
        </w:rPr>
      </w:pPr>
    </w:p>
    <w:p w14:paraId="7BF2CF9B" w14:textId="4E15898C" w:rsidR="00E8695E" w:rsidRPr="00413418" w:rsidRDefault="00AD2CF4" w:rsidP="00E8695E">
      <w:pPr>
        <w:pStyle w:val="Heading1"/>
        <w:numPr>
          <w:ilvl w:val="0"/>
          <w:numId w:val="4"/>
        </w:numPr>
        <w:rPr>
          <w:rFonts w:ascii="Arial" w:hAnsi="Arial" w:cs="Arial"/>
          <w:b/>
          <w:bCs/>
          <w:sz w:val="28"/>
          <w:szCs w:val="28"/>
        </w:rPr>
      </w:pPr>
      <w:bookmarkStart w:id="1" w:name="_Toc134786622"/>
      <w:r w:rsidRPr="00413418">
        <w:rPr>
          <w:rFonts w:ascii="Arial" w:hAnsi="Arial" w:cs="Arial"/>
          <w:b/>
          <w:bCs/>
          <w:sz w:val="28"/>
          <w:szCs w:val="28"/>
        </w:rPr>
        <w:t>Introduction</w:t>
      </w:r>
      <w:bookmarkEnd w:id="1"/>
    </w:p>
    <w:p w14:paraId="5A22708F" w14:textId="77777777" w:rsidR="00AF3616" w:rsidRPr="00D07A02" w:rsidRDefault="00AF3616" w:rsidP="00AF3616">
      <w:pPr>
        <w:rPr>
          <w:rFonts w:ascii="Arial" w:hAnsi="Arial" w:cs="Arial"/>
        </w:rPr>
      </w:pPr>
    </w:p>
    <w:p w14:paraId="22EE41EE" w14:textId="48AB290F" w:rsidR="00AF3616" w:rsidRPr="00B33106" w:rsidRDefault="000C2988" w:rsidP="00276808">
      <w:pPr>
        <w:pStyle w:val="ListParagraph"/>
        <w:numPr>
          <w:ilvl w:val="1"/>
          <w:numId w:val="4"/>
        </w:numPr>
        <w:spacing w:after="0" w:line="240" w:lineRule="auto"/>
        <w:ind w:left="851" w:hanging="491"/>
        <w:jc w:val="both"/>
        <w:rPr>
          <w:rFonts w:ascii="Arial" w:eastAsia="Times New Roman" w:hAnsi="Arial" w:cs="Arial"/>
          <w:sz w:val="24"/>
          <w:szCs w:val="24"/>
        </w:rPr>
      </w:pPr>
      <w:r w:rsidRPr="00224498">
        <w:rPr>
          <w:rFonts w:ascii="Arial" w:eastAsia="Times New Roman" w:hAnsi="Arial" w:cs="Arial"/>
          <w:sz w:val="24"/>
          <w:szCs w:val="24"/>
        </w:rPr>
        <w:t>Cwm Taf Morgannwg University Health Board (CTMUHB), Rhondda Cynon Taf County Borough Council (RCTCBC), Merthyr Tydfil County Borough Council (MTCBC) and Bridgend County Borough Council (BCBC) as partner agencies are committed to providing appropriate aftercare services to eligible patients according to need as set out in Section 117 (S117) of the Mental Health Act 1983 (the Act).</w:t>
      </w:r>
    </w:p>
    <w:p w14:paraId="5531681C" w14:textId="3E60B146" w:rsidR="003F7088" w:rsidRPr="00413418" w:rsidRDefault="003F7088" w:rsidP="003F7088">
      <w:pPr>
        <w:pStyle w:val="Heading1"/>
        <w:numPr>
          <w:ilvl w:val="0"/>
          <w:numId w:val="4"/>
        </w:numPr>
        <w:rPr>
          <w:rFonts w:ascii="Arial" w:hAnsi="Arial" w:cs="Arial"/>
          <w:b/>
          <w:bCs/>
          <w:sz w:val="28"/>
          <w:szCs w:val="28"/>
        </w:rPr>
      </w:pPr>
      <w:bookmarkStart w:id="2" w:name="_Toc134786623"/>
      <w:r w:rsidRPr="00413418">
        <w:rPr>
          <w:rFonts w:ascii="Arial" w:hAnsi="Arial" w:cs="Arial"/>
          <w:b/>
          <w:bCs/>
          <w:sz w:val="28"/>
          <w:szCs w:val="28"/>
        </w:rPr>
        <w:t>Scope</w:t>
      </w:r>
      <w:bookmarkEnd w:id="2"/>
    </w:p>
    <w:p w14:paraId="5569F8DC" w14:textId="77777777" w:rsidR="00B33106" w:rsidRPr="00B33106" w:rsidRDefault="00B33106" w:rsidP="00B33106"/>
    <w:p w14:paraId="7912A268" w14:textId="33ABC43A" w:rsidR="008703C2" w:rsidRPr="00D07A02" w:rsidRDefault="00224498" w:rsidP="00224498">
      <w:pPr>
        <w:spacing w:after="0" w:line="240" w:lineRule="auto"/>
        <w:ind w:left="851" w:hanging="491"/>
        <w:jc w:val="both"/>
        <w:rPr>
          <w:rFonts w:ascii="Arial" w:eastAsia="Times New Roman" w:hAnsi="Arial" w:cs="Arial"/>
          <w:sz w:val="24"/>
          <w:szCs w:val="24"/>
        </w:rPr>
      </w:pPr>
      <w:r>
        <w:rPr>
          <w:rFonts w:ascii="Arial" w:eastAsia="Times New Roman" w:hAnsi="Arial" w:cs="Arial"/>
          <w:sz w:val="24"/>
          <w:szCs w:val="24"/>
        </w:rPr>
        <w:t>2.1</w:t>
      </w:r>
      <w:r>
        <w:rPr>
          <w:rFonts w:ascii="Arial" w:eastAsia="Times New Roman" w:hAnsi="Arial" w:cs="Arial"/>
          <w:sz w:val="24"/>
          <w:szCs w:val="24"/>
        </w:rPr>
        <w:tab/>
      </w:r>
      <w:r w:rsidR="008703C2" w:rsidRPr="00D07A02">
        <w:rPr>
          <w:rFonts w:ascii="Arial" w:eastAsia="Times New Roman" w:hAnsi="Arial" w:cs="Arial"/>
          <w:sz w:val="24"/>
          <w:szCs w:val="24"/>
        </w:rPr>
        <w:t>This policy is applicable CTMUHB wide, to employees of the Local Social Service Authorities (LSSAs) with a duty to provide aftercare services under S117 and to all patients entitled to aftercare services under S117 within CTMUHB.</w:t>
      </w:r>
    </w:p>
    <w:p w14:paraId="6948F0BF" w14:textId="77777777" w:rsidR="00882264" w:rsidRPr="00D07A02" w:rsidRDefault="00882264" w:rsidP="008703C2">
      <w:pPr>
        <w:spacing w:after="0" w:line="240" w:lineRule="auto"/>
        <w:ind w:left="360"/>
        <w:jc w:val="both"/>
        <w:rPr>
          <w:rFonts w:ascii="Arial" w:eastAsia="Times New Roman" w:hAnsi="Arial" w:cs="Arial"/>
          <w:sz w:val="24"/>
          <w:szCs w:val="24"/>
        </w:rPr>
      </w:pPr>
    </w:p>
    <w:p w14:paraId="35CA39A6" w14:textId="0BD09E13" w:rsidR="00882264" w:rsidRPr="00413418" w:rsidRDefault="00882264" w:rsidP="00882264">
      <w:pPr>
        <w:pStyle w:val="Heading1"/>
        <w:numPr>
          <w:ilvl w:val="0"/>
          <w:numId w:val="4"/>
        </w:numPr>
        <w:rPr>
          <w:rFonts w:ascii="Arial" w:eastAsia="Times New Roman" w:hAnsi="Arial" w:cs="Arial"/>
          <w:b/>
          <w:bCs/>
          <w:sz w:val="28"/>
          <w:szCs w:val="28"/>
        </w:rPr>
      </w:pPr>
      <w:bookmarkStart w:id="3" w:name="_Toc134786624"/>
      <w:r w:rsidRPr="00413418">
        <w:rPr>
          <w:rFonts w:ascii="Arial" w:eastAsia="Times New Roman" w:hAnsi="Arial" w:cs="Arial"/>
          <w:b/>
          <w:bCs/>
          <w:sz w:val="28"/>
          <w:szCs w:val="28"/>
        </w:rPr>
        <w:t>Policy Statement</w:t>
      </w:r>
      <w:bookmarkEnd w:id="3"/>
    </w:p>
    <w:p w14:paraId="118EE515" w14:textId="77777777" w:rsidR="000C2988" w:rsidRPr="00D07A02" w:rsidRDefault="000C2988" w:rsidP="003F7088">
      <w:pPr>
        <w:rPr>
          <w:rFonts w:ascii="Arial" w:hAnsi="Arial" w:cs="Arial"/>
        </w:rPr>
      </w:pPr>
    </w:p>
    <w:p w14:paraId="5B4EF671" w14:textId="239EB32E" w:rsidR="0074668F" w:rsidRPr="00CF1601" w:rsidRDefault="00224498" w:rsidP="00224498">
      <w:pPr>
        <w:spacing w:after="0" w:line="240" w:lineRule="auto"/>
        <w:ind w:left="851" w:hanging="491"/>
        <w:contextualSpacing/>
        <w:jc w:val="both"/>
        <w:rPr>
          <w:rFonts w:ascii="Arial" w:eastAsia="Times New Roman" w:hAnsi="Arial" w:cs="Arial"/>
          <w:sz w:val="24"/>
          <w:szCs w:val="20"/>
        </w:rPr>
      </w:pPr>
      <w:r>
        <w:rPr>
          <w:rFonts w:ascii="Arial" w:eastAsia="Times New Roman" w:hAnsi="Arial" w:cs="Arial"/>
          <w:sz w:val="24"/>
          <w:szCs w:val="20"/>
        </w:rPr>
        <w:t>3.1</w:t>
      </w:r>
      <w:r>
        <w:rPr>
          <w:rFonts w:ascii="Arial" w:eastAsia="Times New Roman" w:hAnsi="Arial" w:cs="Arial"/>
          <w:sz w:val="24"/>
          <w:szCs w:val="20"/>
        </w:rPr>
        <w:tab/>
      </w:r>
      <w:r w:rsidR="0074668F" w:rsidRPr="00CF1601">
        <w:rPr>
          <w:rFonts w:ascii="Arial" w:eastAsia="Times New Roman" w:hAnsi="Arial" w:cs="Arial"/>
          <w:sz w:val="24"/>
          <w:szCs w:val="20"/>
        </w:rPr>
        <w:t>CTMUHB and the LSSAs are committed to ensuring, through this policy, that individuals who are entitled to S117 receive care in line with the principles set out within the Code. The primary purposes of S117, as defined in S117 (6), are as follows:</w:t>
      </w:r>
    </w:p>
    <w:p w14:paraId="7F513280" w14:textId="77777777" w:rsidR="0074668F" w:rsidRPr="00CF1601" w:rsidRDefault="0074668F" w:rsidP="0074668F">
      <w:pPr>
        <w:spacing w:after="0" w:line="240" w:lineRule="auto"/>
        <w:ind w:left="1418"/>
        <w:jc w:val="both"/>
        <w:rPr>
          <w:rFonts w:ascii="Arial" w:eastAsia="Times New Roman" w:hAnsi="Arial" w:cs="Arial"/>
          <w:sz w:val="24"/>
          <w:szCs w:val="20"/>
        </w:rPr>
      </w:pPr>
    </w:p>
    <w:p w14:paraId="690B5674" w14:textId="77777777" w:rsidR="0074668F" w:rsidRPr="00CF1601" w:rsidRDefault="0074668F" w:rsidP="0074668F">
      <w:pPr>
        <w:numPr>
          <w:ilvl w:val="0"/>
          <w:numId w:val="5"/>
        </w:numPr>
        <w:tabs>
          <w:tab w:val="num" w:pos="851"/>
        </w:tabs>
        <w:autoSpaceDE w:val="0"/>
        <w:autoSpaceDN w:val="0"/>
        <w:adjustRightInd w:val="0"/>
        <w:spacing w:after="0" w:line="240" w:lineRule="auto"/>
        <w:ind w:left="709" w:hanging="283"/>
        <w:jc w:val="both"/>
        <w:rPr>
          <w:rFonts w:ascii="Arial" w:eastAsia="Times New Roman" w:hAnsi="Arial" w:cs="Arial"/>
          <w:sz w:val="24"/>
          <w:szCs w:val="24"/>
          <w:lang w:eastAsia="en-GB"/>
        </w:rPr>
      </w:pPr>
      <w:r w:rsidRPr="00CF1601">
        <w:rPr>
          <w:rFonts w:ascii="Arial" w:eastAsia="Times New Roman" w:hAnsi="Arial" w:cs="Arial"/>
          <w:b/>
          <w:bCs/>
          <w:sz w:val="24"/>
          <w:szCs w:val="24"/>
          <w:lang w:eastAsia="en-GB"/>
        </w:rPr>
        <w:t>Meeting a need arising from or related to the person’s mental disorder</w:t>
      </w:r>
    </w:p>
    <w:p w14:paraId="73008704" w14:textId="16E720A9" w:rsidR="0074668F" w:rsidRPr="00CF1601" w:rsidRDefault="0074668F" w:rsidP="0074668F">
      <w:pPr>
        <w:numPr>
          <w:ilvl w:val="0"/>
          <w:numId w:val="5"/>
        </w:numPr>
        <w:tabs>
          <w:tab w:val="num" w:pos="851"/>
        </w:tabs>
        <w:autoSpaceDE w:val="0"/>
        <w:autoSpaceDN w:val="0"/>
        <w:adjustRightInd w:val="0"/>
        <w:spacing w:after="0" w:line="240" w:lineRule="auto"/>
        <w:ind w:left="709" w:hanging="283"/>
        <w:jc w:val="both"/>
        <w:rPr>
          <w:rFonts w:ascii="Arial" w:eastAsia="Times New Roman" w:hAnsi="Arial" w:cs="Arial"/>
          <w:sz w:val="24"/>
          <w:szCs w:val="24"/>
          <w:lang w:eastAsia="en-GB"/>
        </w:rPr>
      </w:pPr>
      <w:r w:rsidRPr="00CF1601">
        <w:rPr>
          <w:rFonts w:ascii="Arial" w:eastAsia="Times New Roman" w:hAnsi="Arial" w:cs="Arial"/>
          <w:b/>
          <w:bCs/>
          <w:sz w:val="24"/>
          <w:szCs w:val="24"/>
          <w:lang w:eastAsia="en-GB"/>
        </w:rPr>
        <w:t>Reduce the risk of deterioration of the person’s mental condition (and accordingly reducing the risk of the person requiring admission to a hospital again for treatment of mental disorder)</w:t>
      </w:r>
    </w:p>
    <w:p w14:paraId="6DF80E04" w14:textId="77777777" w:rsidR="00882264" w:rsidRPr="00D07A02" w:rsidRDefault="00882264" w:rsidP="00882264">
      <w:pPr>
        <w:ind w:left="360"/>
        <w:rPr>
          <w:rFonts w:ascii="Arial" w:hAnsi="Arial" w:cs="Arial"/>
        </w:rPr>
      </w:pPr>
    </w:p>
    <w:p w14:paraId="6E7F3E6A" w14:textId="374D61CC" w:rsidR="003F7088" w:rsidRPr="00413418" w:rsidRDefault="00AF3616" w:rsidP="00AF3616">
      <w:pPr>
        <w:pStyle w:val="Heading1"/>
        <w:numPr>
          <w:ilvl w:val="0"/>
          <w:numId w:val="4"/>
        </w:numPr>
        <w:rPr>
          <w:rFonts w:ascii="Arial" w:hAnsi="Arial" w:cs="Arial"/>
          <w:b/>
          <w:bCs/>
          <w:sz w:val="28"/>
          <w:szCs w:val="28"/>
        </w:rPr>
      </w:pPr>
      <w:bookmarkStart w:id="4" w:name="_Toc134786625"/>
      <w:r w:rsidRPr="00413418">
        <w:rPr>
          <w:rFonts w:ascii="Arial" w:hAnsi="Arial" w:cs="Arial"/>
          <w:b/>
          <w:bCs/>
          <w:sz w:val="28"/>
          <w:szCs w:val="28"/>
        </w:rPr>
        <w:t>Aims and Objectives</w:t>
      </w:r>
      <w:bookmarkEnd w:id="4"/>
    </w:p>
    <w:p w14:paraId="55C75480" w14:textId="77777777" w:rsidR="00AF3616" w:rsidRDefault="00AF3616" w:rsidP="00AF3616">
      <w:pPr>
        <w:rPr>
          <w:rFonts w:ascii="Arial" w:hAnsi="Arial" w:cs="Arial"/>
        </w:rPr>
      </w:pPr>
    </w:p>
    <w:p w14:paraId="66A12AC6" w14:textId="680E2003" w:rsidR="00896189" w:rsidRPr="00896189" w:rsidRDefault="00896189" w:rsidP="00896189">
      <w:pPr>
        <w:pStyle w:val="ListParagraph"/>
        <w:numPr>
          <w:ilvl w:val="1"/>
          <w:numId w:val="4"/>
        </w:numPr>
        <w:ind w:left="851" w:hanging="491"/>
        <w:jc w:val="both"/>
        <w:rPr>
          <w:rFonts w:ascii="Arial" w:hAnsi="Arial" w:cs="Arial"/>
          <w:sz w:val="24"/>
          <w:szCs w:val="24"/>
        </w:rPr>
      </w:pPr>
      <w:r w:rsidRPr="00896189">
        <w:rPr>
          <w:rFonts w:ascii="Arial" w:hAnsi="Arial" w:cs="Arial"/>
          <w:sz w:val="24"/>
          <w:szCs w:val="24"/>
        </w:rPr>
        <w:t>The objective of this procedure is to set out the policy requirements for provision of after-care services under S117 of the Act to the residents of Cwm Taf Morgannwg University Health Board (CTMUHB).</w:t>
      </w:r>
    </w:p>
    <w:p w14:paraId="02B8305B" w14:textId="71DFC22C" w:rsidR="00997DA2" w:rsidRPr="00896189" w:rsidRDefault="00896189" w:rsidP="00997DA2">
      <w:pPr>
        <w:numPr>
          <w:ilvl w:val="1"/>
          <w:numId w:val="4"/>
        </w:numPr>
        <w:ind w:left="851" w:hanging="491"/>
        <w:jc w:val="both"/>
        <w:rPr>
          <w:rFonts w:ascii="Arial" w:hAnsi="Arial" w:cs="Arial"/>
          <w:sz w:val="24"/>
          <w:szCs w:val="24"/>
        </w:rPr>
      </w:pPr>
      <w:r w:rsidRPr="00896189">
        <w:rPr>
          <w:rFonts w:ascii="Arial" w:hAnsi="Arial" w:cs="Arial"/>
          <w:sz w:val="24"/>
          <w:szCs w:val="24"/>
        </w:rPr>
        <w:t xml:space="preserve">This document aims to lay out a clear framework for the Health and Social Care services within Cwm Taf Morgannwg to utilise when delivering statutory aftercare to people who are entitled to those services under S117. </w:t>
      </w:r>
    </w:p>
    <w:p w14:paraId="455FCF0C" w14:textId="03A0D973" w:rsidR="00896189" w:rsidRPr="00896189" w:rsidRDefault="00896189" w:rsidP="00896189">
      <w:pPr>
        <w:numPr>
          <w:ilvl w:val="1"/>
          <w:numId w:val="4"/>
        </w:numPr>
        <w:ind w:left="851" w:hanging="491"/>
        <w:jc w:val="both"/>
        <w:rPr>
          <w:rFonts w:ascii="Arial" w:hAnsi="Arial" w:cs="Arial"/>
          <w:sz w:val="24"/>
          <w:szCs w:val="24"/>
        </w:rPr>
      </w:pPr>
      <w:r w:rsidRPr="00896189">
        <w:rPr>
          <w:rFonts w:ascii="Arial" w:hAnsi="Arial" w:cs="Arial"/>
          <w:sz w:val="24"/>
          <w:szCs w:val="24"/>
        </w:rPr>
        <w:t>All staff should be familiar with the relevant sections in the Act and the Code.</w:t>
      </w:r>
    </w:p>
    <w:p w14:paraId="42423DC0" w14:textId="6CCA400D" w:rsidR="00896189" w:rsidRPr="00896189" w:rsidRDefault="00896189" w:rsidP="00896189">
      <w:pPr>
        <w:pStyle w:val="ListParagraph"/>
        <w:numPr>
          <w:ilvl w:val="1"/>
          <w:numId w:val="4"/>
        </w:numPr>
        <w:ind w:left="851" w:hanging="491"/>
        <w:jc w:val="both"/>
        <w:rPr>
          <w:rFonts w:ascii="Arial" w:hAnsi="Arial" w:cs="Arial"/>
          <w:sz w:val="24"/>
          <w:szCs w:val="24"/>
        </w:rPr>
      </w:pPr>
      <w:r w:rsidRPr="00896189">
        <w:rPr>
          <w:rFonts w:ascii="Arial" w:hAnsi="Arial" w:cs="Arial"/>
          <w:sz w:val="24"/>
          <w:szCs w:val="24"/>
        </w:rPr>
        <w:lastRenderedPageBreak/>
        <w:t>This document aims to give staff an understanding of their responsibilities with respect to planning, providing, reviewing and ending aftercare services and will ensure that LSSAs and CTMUHB work together to discharge their responsibilities under the Act.</w:t>
      </w:r>
    </w:p>
    <w:p w14:paraId="2849333D" w14:textId="4B68BE28" w:rsidR="00EF0B5E" w:rsidRPr="00F53595" w:rsidRDefault="00896189" w:rsidP="00EF0B5E">
      <w:pPr>
        <w:spacing w:after="0" w:line="240" w:lineRule="auto"/>
        <w:ind w:left="851" w:hanging="491"/>
        <w:jc w:val="both"/>
        <w:rPr>
          <w:rFonts w:ascii="Arial" w:eastAsia="Times New Roman" w:hAnsi="Arial" w:cs="Arial"/>
          <w:b/>
          <w:sz w:val="24"/>
          <w:szCs w:val="24"/>
        </w:rPr>
      </w:pPr>
      <w:r>
        <w:rPr>
          <w:rFonts w:ascii="Arial" w:hAnsi="Arial" w:cs="Arial"/>
          <w:sz w:val="24"/>
          <w:szCs w:val="24"/>
        </w:rPr>
        <w:t>4.5</w:t>
      </w:r>
      <w:r>
        <w:rPr>
          <w:rFonts w:ascii="Arial" w:hAnsi="Arial" w:cs="Arial"/>
          <w:sz w:val="24"/>
          <w:szCs w:val="24"/>
        </w:rPr>
        <w:tab/>
      </w:r>
      <w:r w:rsidR="00EF0B5E">
        <w:rPr>
          <w:rFonts w:ascii="Arial" w:hAnsi="Arial" w:cs="Arial"/>
          <w:sz w:val="24"/>
          <w:szCs w:val="24"/>
        </w:rPr>
        <w:t>T</w:t>
      </w:r>
      <w:r w:rsidR="00EF0B5E" w:rsidRPr="00F53595">
        <w:rPr>
          <w:rFonts w:ascii="Arial" w:eastAsia="Times New Roman" w:hAnsi="Arial" w:cs="Arial"/>
          <w:sz w:val="24"/>
          <w:szCs w:val="24"/>
        </w:rPr>
        <w:t>o set out the requirements for provision of aftercare services under S117 to the residents and patients of the partner agencies.</w:t>
      </w:r>
    </w:p>
    <w:p w14:paraId="1B3F7C16" w14:textId="77777777" w:rsidR="00EF0B5E" w:rsidRPr="00F53595" w:rsidRDefault="00EF0B5E" w:rsidP="00EF0B5E">
      <w:pPr>
        <w:spacing w:after="0" w:line="240" w:lineRule="auto"/>
        <w:jc w:val="both"/>
        <w:rPr>
          <w:rFonts w:ascii="Arial" w:eastAsia="Times New Roman" w:hAnsi="Arial" w:cs="Arial"/>
          <w:b/>
          <w:sz w:val="24"/>
          <w:szCs w:val="24"/>
        </w:rPr>
      </w:pPr>
    </w:p>
    <w:p w14:paraId="6D88120F" w14:textId="77777777" w:rsidR="00EF0B5E" w:rsidRPr="00F53595" w:rsidRDefault="00EF0B5E" w:rsidP="00EF0B5E">
      <w:pPr>
        <w:spacing w:after="0" w:line="240" w:lineRule="auto"/>
        <w:ind w:firstLine="851"/>
        <w:jc w:val="both"/>
        <w:rPr>
          <w:rFonts w:ascii="Arial" w:eastAsia="Times New Roman" w:hAnsi="Arial" w:cs="Arial"/>
          <w:i/>
          <w:sz w:val="24"/>
          <w:szCs w:val="24"/>
        </w:rPr>
      </w:pPr>
      <w:r w:rsidRPr="00F53595">
        <w:rPr>
          <w:rFonts w:ascii="Arial" w:eastAsia="Times New Roman" w:hAnsi="Arial" w:cs="Arial"/>
          <w:sz w:val="24"/>
          <w:szCs w:val="24"/>
        </w:rPr>
        <w:t>This policy describes the following with regard to S117 aftercare:</w:t>
      </w:r>
    </w:p>
    <w:p w14:paraId="1829C0E3" w14:textId="77777777" w:rsidR="00EF0B5E" w:rsidRPr="00F53595" w:rsidRDefault="00EF0B5E" w:rsidP="00EF0B5E">
      <w:pPr>
        <w:spacing w:after="0" w:line="240" w:lineRule="auto"/>
        <w:jc w:val="both"/>
        <w:rPr>
          <w:rFonts w:ascii="Arial" w:eastAsia="Times New Roman" w:hAnsi="Arial" w:cs="Arial"/>
          <w:i/>
          <w:sz w:val="24"/>
          <w:szCs w:val="24"/>
        </w:rPr>
      </w:pPr>
    </w:p>
    <w:p w14:paraId="14D98CA0" w14:textId="77777777" w:rsidR="00EF0B5E" w:rsidRPr="00F53595" w:rsidRDefault="00EF0B5E" w:rsidP="00EF0B5E">
      <w:pPr>
        <w:numPr>
          <w:ilvl w:val="0"/>
          <w:numId w:val="7"/>
        </w:numPr>
        <w:spacing w:after="0" w:line="240" w:lineRule="auto"/>
        <w:ind w:hanging="71"/>
        <w:jc w:val="both"/>
        <w:rPr>
          <w:rFonts w:ascii="Arial" w:eastAsia="Times New Roman" w:hAnsi="Arial" w:cs="Arial"/>
          <w:sz w:val="24"/>
          <w:szCs w:val="24"/>
        </w:rPr>
      </w:pPr>
      <w:r w:rsidRPr="00F53595">
        <w:rPr>
          <w:rFonts w:ascii="Arial" w:eastAsia="Times New Roman" w:hAnsi="Arial" w:cs="Arial"/>
          <w:sz w:val="24"/>
          <w:szCs w:val="24"/>
        </w:rPr>
        <w:t>The purpose of S117 aftercare</w:t>
      </w:r>
    </w:p>
    <w:p w14:paraId="78F48687" w14:textId="77777777" w:rsidR="00EF0B5E" w:rsidRDefault="00EF0B5E" w:rsidP="00EF0B5E">
      <w:pPr>
        <w:numPr>
          <w:ilvl w:val="0"/>
          <w:numId w:val="7"/>
        </w:numPr>
        <w:spacing w:after="0" w:line="240" w:lineRule="auto"/>
        <w:ind w:hanging="71"/>
        <w:jc w:val="both"/>
        <w:rPr>
          <w:rFonts w:ascii="Arial" w:eastAsia="Times New Roman" w:hAnsi="Arial" w:cs="Arial"/>
          <w:sz w:val="24"/>
          <w:szCs w:val="24"/>
        </w:rPr>
      </w:pPr>
      <w:r w:rsidRPr="00F53595">
        <w:rPr>
          <w:rFonts w:ascii="Arial" w:eastAsia="Times New Roman" w:hAnsi="Arial" w:cs="Arial"/>
          <w:sz w:val="24"/>
          <w:szCs w:val="24"/>
        </w:rPr>
        <w:t>The process for eligibility for S117 aftercare</w:t>
      </w:r>
    </w:p>
    <w:p w14:paraId="669CFDC9" w14:textId="39710926" w:rsidR="00EF0B5E" w:rsidRDefault="00EF0B5E" w:rsidP="00EF0B5E">
      <w:pPr>
        <w:numPr>
          <w:ilvl w:val="0"/>
          <w:numId w:val="7"/>
        </w:numPr>
        <w:spacing w:after="0" w:line="240" w:lineRule="auto"/>
        <w:ind w:hanging="71"/>
        <w:jc w:val="both"/>
        <w:rPr>
          <w:rFonts w:ascii="Arial" w:eastAsia="Times New Roman" w:hAnsi="Arial" w:cs="Arial"/>
          <w:sz w:val="24"/>
          <w:szCs w:val="24"/>
        </w:rPr>
      </w:pPr>
      <w:r w:rsidRPr="00F53595">
        <w:rPr>
          <w:rFonts w:ascii="Arial" w:eastAsia="Times New Roman" w:hAnsi="Arial" w:cs="Arial"/>
          <w:sz w:val="24"/>
          <w:szCs w:val="24"/>
        </w:rPr>
        <w:t xml:space="preserve">The duties of the practitioners and agencies involved in the </w:t>
      </w:r>
      <w:r>
        <w:rPr>
          <w:rFonts w:ascii="Arial" w:eastAsia="Times New Roman" w:hAnsi="Arial" w:cs="Arial"/>
          <w:sz w:val="24"/>
          <w:szCs w:val="24"/>
        </w:rPr>
        <w:t xml:space="preserve">   </w:t>
      </w:r>
      <w:r>
        <w:rPr>
          <w:rFonts w:ascii="Arial" w:eastAsia="Times New Roman" w:hAnsi="Arial" w:cs="Arial"/>
          <w:sz w:val="24"/>
          <w:szCs w:val="24"/>
        </w:rPr>
        <w:tab/>
      </w:r>
      <w:r w:rsidRPr="00F53595">
        <w:rPr>
          <w:rFonts w:ascii="Arial" w:eastAsia="Times New Roman" w:hAnsi="Arial" w:cs="Arial"/>
          <w:sz w:val="24"/>
          <w:szCs w:val="24"/>
        </w:rPr>
        <w:t xml:space="preserve">management of patients eligible to receive S117 aftercare </w:t>
      </w:r>
    </w:p>
    <w:p w14:paraId="74ACE9D6" w14:textId="77777777" w:rsidR="000D2F72" w:rsidRPr="000D2F72" w:rsidRDefault="000D2F72" w:rsidP="000D2F72">
      <w:pPr>
        <w:spacing w:after="0" w:line="240" w:lineRule="auto"/>
        <w:ind w:left="780"/>
        <w:jc w:val="both"/>
        <w:rPr>
          <w:rFonts w:ascii="Arial" w:eastAsia="Times New Roman" w:hAnsi="Arial" w:cs="Arial"/>
          <w:sz w:val="24"/>
          <w:szCs w:val="24"/>
        </w:rPr>
      </w:pPr>
    </w:p>
    <w:p w14:paraId="4D7C9F45" w14:textId="3EE9B957" w:rsidR="00F53595" w:rsidRPr="00F53595" w:rsidRDefault="00896189" w:rsidP="000D2F72">
      <w:pPr>
        <w:ind w:left="426"/>
        <w:jc w:val="both"/>
        <w:rPr>
          <w:rFonts w:ascii="Arial" w:hAnsi="Arial" w:cs="Arial"/>
          <w:sz w:val="24"/>
          <w:szCs w:val="24"/>
        </w:rPr>
      </w:pPr>
      <w:r w:rsidRPr="00896189">
        <w:rPr>
          <w:rFonts w:ascii="Arial" w:hAnsi="Arial" w:cs="Arial"/>
          <w:sz w:val="24"/>
          <w:szCs w:val="24"/>
        </w:rPr>
        <w:t>This document is not exhaustive and it recognises that although correct at time of distribution there are likely to be changes to national legislation/guidance/policy developments or case law. This document should NOT be used as a substitute for seeking local legal advice when required.</w:t>
      </w:r>
    </w:p>
    <w:p w14:paraId="4FC00E8F" w14:textId="32255956" w:rsidR="00F53595" w:rsidRPr="00997DA2" w:rsidRDefault="00F53595" w:rsidP="00997DA2">
      <w:pPr>
        <w:spacing w:after="0" w:line="240" w:lineRule="auto"/>
        <w:ind w:left="420"/>
        <w:jc w:val="both"/>
        <w:rPr>
          <w:rFonts w:ascii="Arial" w:eastAsia="Times New Roman" w:hAnsi="Arial" w:cs="Arial"/>
          <w:bCs/>
          <w:iCs/>
          <w:sz w:val="24"/>
          <w:szCs w:val="24"/>
        </w:rPr>
      </w:pPr>
      <w:r w:rsidRPr="00F53595">
        <w:rPr>
          <w:rFonts w:ascii="Arial" w:eastAsia="Times New Roman" w:hAnsi="Arial" w:cs="Arial"/>
          <w:bCs/>
          <w:iCs/>
          <w:sz w:val="24"/>
          <w:szCs w:val="24"/>
        </w:rPr>
        <w:t xml:space="preserve">Practitioners must have due regard to the Mental Health Act Code of Practice for Wales Revised 2016 (the Code) generally and specifically to the Guiding Principles when they are providing aftercare services under S117. </w:t>
      </w:r>
    </w:p>
    <w:p w14:paraId="63B007FA" w14:textId="5AE07389" w:rsidR="00997DA2" w:rsidRPr="00413418" w:rsidRDefault="00842065" w:rsidP="00997DA2">
      <w:pPr>
        <w:pStyle w:val="Heading1"/>
        <w:numPr>
          <w:ilvl w:val="0"/>
          <w:numId w:val="4"/>
        </w:numPr>
        <w:rPr>
          <w:rFonts w:ascii="Arial" w:hAnsi="Arial" w:cs="Arial"/>
          <w:b/>
          <w:bCs/>
          <w:sz w:val="28"/>
          <w:szCs w:val="28"/>
        </w:rPr>
      </w:pPr>
      <w:bookmarkStart w:id="5" w:name="_Toc134786626"/>
      <w:r w:rsidRPr="00413418">
        <w:rPr>
          <w:rFonts w:ascii="Arial" w:hAnsi="Arial" w:cs="Arial"/>
          <w:b/>
          <w:bCs/>
          <w:sz w:val="28"/>
          <w:szCs w:val="28"/>
        </w:rPr>
        <w:t>Managerial Responsibilities</w:t>
      </w:r>
      <w:bookmarkEnd w:id="5"/>
    </w:p>
    <w:p w14:paraId="6FBD23F6" w14:textId="77777777" w:rsidR="00997DA2" w:rsidRPr="00997DA2" w:rsidRDefault="00997DA2" w:rsidP="00997DA2">
      <w:pPr>
        <w:spacing w:line="240" w:lineRule="auto"/>
      </w:pPr>
    </w:p>
    <w:p w14:paraId="3B13721C" w14:textId="454D413D" w:rsidR="00842065" w:rsidRPr="00842065" w:rsidRDefault="001D1ED8" w:rsidP="001D1ED8">
      <w:pPr>
        <w:tabs>
          <w:tab w:val="left" w:pos="720"/>
          <w:tab w:val="left" w:pos="1560"/>
          <w:tab w:val="center" w:pos="4513"/>
          <w:tab w:val="right" w:pos="8931"/>
        </w:tabs>
        <w:spacing w:after="0" w:line="240" w:lineRule="auto"/>
        <w:ind w:left="360" w:hanging="360"/>
        <w:jc w:val="both"/>
        <w:rPr>
          <w:rFonts w:ascii="Arial" w:eastAsia="Times New Roman" w:hAnsi="Arial" w:cs="Arial"/>
          <w:sz w:val="24"/>
          <w:szCs w:val="24"/>
          <w:lang w:val="en-US"/>
        </w:rPr>
      </w:pPr>
      <w:r w:rsidRPr="00D07A02">
        <w:rPr>
          <w:rFonts w:ascii="Arial" w:eastAsia="Times New Roman" w:hAnsi="Arial" w:cs="Arial"/>
          <w:sz w:val="24"/>
          <w:szCs w:val="24"/>
          <w:lang w:val="en-US"/>
        </w:rPr>
        <w:tab/>
      </w:r>
      <w:r w:rsidR="00842065" w:rsidRPr="00842065">
        <w:rPr>
          <w:rFonts w:ascii="Arial" w:eastAsia="Times New Roman" w:hAnsi="Arial" w:cs="Arial"/>
          <w:sz w:val="24"/>
          <w:szCs w:val="24"/>
          <w:lang w:val="en-US"/>
        </w:rPr>
        <w:t xml:space="preserve">It is the responsibility of all Managers and Heads of </w:t>
      </w:r>
      <w:r w:rsidR="00842065" w:rsidRPr="00842065">
        <w:rPr>
          <w:rFonts w:ascii="Arial" w:eastAsia="Times New Roman" w:hAnsi="Arial" w:cs="Arial"/>
          <w:sz w:val="24"/>
          <w:szCs w:val="24"/>
          <w:lang w:val="en-US"/>
        </w:rPr>
        <w:tab/>
        <w:t>Department</w:t>
      </w:r>
      <w:r w:rsidRPr="00D07A02">
        <w:rPr>
          <w:rFonts w:ascii="Arial" w:eastAsia="Times New Roman" w:hAnsi="Arial" w:cs="Arial"/>
          <w:sz w:val="24"/>
          <w:szCs w:val="24"/>
          <w:lang w:val="en-US"/>
        </w:rPr>
        <w:t xml:space="preserve"> </w:t>
      </w:r>
      <w:r w:rsidR="00842065" w:rsidRPr="00842065">
        <w:rPr>
          <w:rFonts w:ascii="Arial" w:eastAsia="Times New Roman" w:hAnsi="Arial" w:cs="Arial"/>
          <w:sz w:val="24"/>
          <w:szCs w:val="24"/>
          <w:lang w:val="en-US"/>
        </w:rPr>
        <w:t xml:space="preserve">to ensure that this policy is understood and </w:t>
      </w:r>
      <w:r w:rsidR="00842065" w:rsidRPr="00842065">
        <w:rPr>
          <w:rFonts w:ascii="Arial" w:eastAsia="Times New Roman" w:hAnsi="Arial" w:cs="Arial"/>
          <w:sz w:val="24"/>
          <w:szCs w:val="24"/>
          <w:lang w:val="en-US"/>
        </w:rPr>
        <w:tab/>
        <w:t>adhered to by all health and social care staff. Overall monitoring will be maintained by the Clinical Director.</w:t>
      </w:r>
    </w:p>
    <w:p w14:paraId="740D61A1" w14:textId="77777777" w:rsidR="00842065" w:rsidRPr="00842065" w:rsidRDefault="00842065" w:rsidP="001D1ED8">
      <w:pPr>
        <w:tabs>
          <w:tab w:val="left" w:pos="720"/>
          <w:tab w:val="left" w:pos="1560"/>
          <w:tab w:val="center" w:pos="4513"/>
          <w:tab w:val="right" w:pos="9026"/>
        </w:tabs>
        <w:spacing w:after="0" w:line="240" w:lineRule="auto"/>
        <w:ind w:left="360"/>
        <w:jc w:val="both"/>
        <w:rPr>
          <w:rFonts w:ascii="Arial" w:eastAsia="Times New Roman" w:hAnsi="Arial" w:cs="Arial"/>
          <w:sz w:val="24"/>
          <w:szCs w:val="24"/>
          <w:lang w:val="en-US"/>
        </w:rPr>
      </w:pPr>
    </w:p>
    <w:p w14:paraId="719E3A74" w14:textId="30C9A338" w:rsidR="00423118" w:rsidRDefault="001D1ED8" w:rsidP="00997DA2">
      <w:pPr>
        <w:tabs>
          <w:tab w:val="left" w:pos="851"/>
          <w:tab w:val="left" w:pos="1560"/>
          <w:tab w:val="center" w:pos="4513"/>
          <w:tab w:val="right" w:pos="9026"/>
        </w:tabs>
        <w:spacing w:after="0" w:line="240" w:lineRule="auto"/>
        <w:ind w:left="426"/>
        <w:jc w:val="both"/>
        <w:rPr>
          <w:rFonts w:ascii="Arial" w:eastAsia="Times New Roman" w:hAnsi="Arial" w:cs="Arial"/>
          <w:sz w:val="24"/>
          <w:szCs w:val="24"/>
          <w:lang w:val="en-US"/>
        </w:rPr>
      </w:pPr>
      <w:r w:rsidRPr="00D07A02">
        <w:rPr>
          <w:rFonts w:ascii="Arial" w:eastAsia="Times New Roman" w:hAnsi="Arial" w:cs="Arial"/>
          <w:sz w:val="24"/>
          <w:szCs w:val="24"/>
          <w:lang w:val="en-US"/>
        </w:rPr>
        <w:t>T</w:t>
      </w:r>
      <w:r w:rsidR="00842065" w:rsidRPr="00842065">
        <w:rPr>
          <w:rFonts w:ascii="Arial" w:eastAsia="Times New Roman" w:hAnsi="Arial" w:cs="Arial"/>
          <w:sz w:val="24"/>
          <w:szCs w:val="24"/>
          <w:lang w:val="en-US"/>
        </w:rPr>
        <w:t xml:space="preserve">he interface between the Continuing Healthcare and S117 process will be agreed and developed between CTMUHB and the relevant LSSA.   </w:t>
      </w:r>
    </w:p>
    <w:p w14:paraId="4246FA82" w14:textId="147A72A4" w:rsidR="00423118" w:rsidRPr="00413418" w:rsidRDefault="00885DFA" w:rsidP="00885DFA">
      <w:pPr>
        <w:pStyle w:val="Heading1"/>
        <w:numPr>
          <w:ilvl w:val="0"/>
          <w:numId w:val="4"/>
        </w:numPr>
        <w:rPr>
          <w:rFonts w:ascii="Arial" w:hAnsi="Arial" w:cs="Arial"/>
          <w:b/>
          <w:bCs/>
          <w:sz w:val="28"/>
          <w:szCs w:val="28"/>
        </w:rPr>
      </w:pPr>
      <w:bookmarkStart w:id="6" w:name="_Toc134786627"/>
      <w:r w:rsidRPr="00413418">
        <w:rPr>
          <w:rFonts w:ascii="Arial" w:hAnsi="Arial" w:cs="Arial"/>
          <w:b/>
          <w:bCs/>
          <w:sz w:val="28"/>
          <w:szCs w:val="28"/>
        </w:rPr>
        <w:t xml:space="preserve">Legislative </w:t>
      </w:r>
      <w:r w:rsidR="00864E9B" w:rsidRPr="00413418">
        <w:rPr>
          <w:rFonts w:ascii="Arial" w:hAnsi="Arial" w:cs="Arial"/>
          <w:b/>
          <w:bCs/>
          <w:sz w:val="28"/>
          <w:szCs w:val="28"/>
        </w:rPr>
        <w:t>and NHS requirements</w:t>
      </w:r>
      <w:bookmarkEnd w:id="6"/>
    </w:p>
    <w:p w14:paraId="185A909F" w14:textId="77777777" w:rsidR="00864E9B" w:rsidRDefault="00864E9B" w:rsidP="00864E9B">
      <w:pPr>
        <w:spacing w:after="0" w:line="240" w:lineRule="auto"/>
        <w:rPr>
          <w:rFonts w:ascii="Verdana" w:eastAsia="Times New Roman" w:hAnsi="Verdana" w:cs="Times New Roman"/>
          <w:sz w:val="24"/>
          <w:szCs w:val="24"/>
        </w:rPr>
      </w:pPr>
    </w:p>
    <w:p w14:paraId="663F1FE5" w14:textId="617D20A7" w:rsidR="00864E9B" w:rsidRPr="00864E9B" w:rsidRDefault="00864E9B" w:rsidP="00864E9B">
      <w:pPr>
        <w:spacing w:after="0" w:line="240" w:lineRule="auto"/>
        <w:ind w:firstLine="360"/>
        <w:rPr>
          <w:rFonts w:ascii="Arial" w:eastAsia="Times New Roman" w:hAnsi="Arial" w:cs="Arial"/>
          <w:sz w:val="24"/>
          <w:szCs w:val="24"/>
        </w:rPr>
      </w:pPr>
      <w:r w:rsidRPr="00864E9B">
        <w:rPr>
          <w:rFonts w:ascii="Arial" w:eastAsia="Times New Roman" w:hAnsi="Arial" w:cs="Arial"/>
          <w:sz w:val="24"/>
          <w:szCs w:val="24"/>
        </w:rPr>
        <w:t>Mental Health Act 1983 (amended 2007)</w:t>
      </w:r>
    </w:p>
    <w:p w14:paraId="1EB79273" w14:textId="77777777" w:rsidR="00864E9B" w:rsidRPr="00864E9B" w:rsidRDefault="00864E9B" w:rsidP="00864E9B">
      <w:pPr>
        <w:spacing w:after="0" w:line="240" w:lineRule="auto"/>
        <w:ind w:firstLine="360"/>
        <w:rPr>
          <w:rFonts w:ascii="Arial" w:eastAsia="Times New Roman" w:hAnsi="Arial" w:cs="Arial"/>
          <w:sz w:val="24"/>
          <w:szCs w:val="24"/>
        </w:rPr>
      </w:pPr>
      <w:r w:rsidRPr="00864E9B">
        <w:rPr>
          <w:rFonts w:ascii="Arial" w:eastAsia="Times New Roman" w:hAnsi="Arial" w:cs="Arial"/>
          <w:sz w:val="24"/>
          <w:szCs w:val="24"/>
        </w:rPr>
        <w:t>Mental Health Act Code of Practice for Wales (revised 2016)</w:t>
      </w:r>
    </w:p>
    <w:p w14:paraId="0379FBBB" w14:textId="77777777" w:rsidR="00864E9B" w:rsidRPr="00864E9B" w:rsidRDefault="00864E9B" w:rsidP="00864E9B">
      <w:pPr>
        <w:spacing w:after="0" w:line="240" w:lineRule="auto"/>
        <w:ind w:firstLine="360"/>
        <w:rPr>
          <w:rFonts w:ascii="Arial" w:eastAsia="Times New Roman" w:hAnsi="Arial" w:cs="Arial"/>
          <w:sz w:val="24"/>
          <w:szCs w:val="24"/>
        </w:rPr>
      </w:pPr>
      <w:r w:rsidRPr="00864E9B">
        <w:rPr>
          <w:rFonts w:ascii="Arial" w:eastAsia="Times New Roman" w:hAnsi="Arial" w:cs="Arial"/>
          <w:sz w:val="24"/>
          <w:szCs w:val="24"/>
        </w:rPr>
        <w:t>Mental Health (Wales) Measure 2010</w:t>
      </w:r>
    </w:p>
    <w:p w14:paraId="05111805" w14:textId="77777777" w:rsidR="00480726" w:rsidRDefault="00480726" w:rsidP="00480726">
      <w:pPr>
        <w:autoSpaceDE w:val="0"/>
        <w:autoSpaceDN w:val="0"/>
        <w:adjustRightInd w:val="0"/>
        <w:spacing w:after="0" w:line="240" w:lineRule="auto"/>
        <w:jc w:val="both"/>
      </w:pPr>
    </w:p>
    <w:p w14:paraId="180B0DF3" w14:textId="0B925FD1" w:rsidR="00480726" w:rsidRPr="00413418" w:rsidRDefault="00480726" w:rsidP="00480726">
      <w:pPr>
        <w:pStyle w:val="Heading1"/>
        <w:numPr>
          <w:ilvl w:val="0"/>
          <w:numId w:val="4"/>
        </w:numPr>
        <w:rPr>
          <w:rFonts w:ascii="Arial" w:hAnsi="Arial" w:cs="Arial"/>
          <w:b/>
          <w:bCs/>
          <w:sz w:val="28"/>
          <w:szCs w:val="28"/>
        </w:rPr>
      </w:pPr>
      <w:bookmarkStart w:id="7" w:name="_Toc134786628"/>
      <w:r w:rsidRPr="00413418">
        <w:rPr>
          <w:rFonts w:ascii="Arial" w:hAnsi="Arial" w:cs="Arial"/>
          <w:b/>
          <w:bCs/>
          <w:sz w:val="28"/>
          <w:szCs w:val="28"/>
        </w:rPr>
        <w:t>Procedure</w:t>
      </w:r>
      <w:bookmarkEnd w:id="7"/>
    </w:p>
    <w:p w14:paraId="59475830" w14:textId="77777777" w:rsidR="009E5D32" w:rsidRPr="009E5D32" w:rsidRDefault="009E5D32" w:rsidP="009E5D32">
      <w:pPr>
        <w:autoSpaceDE w:val="0"/>
        <w:autoSpaceDN w:val="0"/>
        <w:adjustRightInd w:val="0"/>
        <w:spacing w:after="0" w:line="240" w:lineRule="auto"/>
        <w:jc w:val="both"/>
        <w:rPr>
          <w:rFonts w:ascii="Verdana" w:hAnsi="Verdana" w:cs="Arial"/>
          <w:color w:val="000000"/>
          <w:sz w:val="24"/>
          <w:szCs w:val="24"/>
        </w:rPr>
      </w:pPr>
    </w:p>
    <w:p w14:paraId="09DA792A" w14:textId="3A048A5E" w:rsidR="00B94BE2" w:rsidRPr="00AE1D91" w:rsidRDefault="00574CEE" w:rsidP="00574CEE">
      <w:pPr>
        <w:autoSpaceDE w:val="0"/>
        <w:autoSpaceDN w:val="0"/>
        <w:adjustRightInd w:val="0"/>
        <w:spacing w:after="0" w:line="240" w:lineRule="auto"/>
        <w:ind w:left="851" w:hanging="491"/>
        <w:jc w:val="both"/>
        <w:rPr>
          <w:rFonts w:ascii="Arial" w:hAnsi="Arial" w:cs="Arial"/>
          <w:color w:val="000000"/>
          <w:sz w:val="24"/>
          <w:szCs w:val="24"/>
        </w:rPr>
      </w:pPr>
      <w:r w:rsidRPr="00AE1D91">
        <w:rPr>
          <w:rFonts w:ascii="Arial" w:hAnsi="Arial" w:cs="Arial"/>
          <w:color w:val="000000"/>
          <w:sz w:val="24"/>
          <w:szCs w:val="24"/>
        </w:rPr>
        <w:t>7.</w:t>
      </w:r>
      <w:r w:rsidRPr="00144E50">
        <w:rPr>
          <w:rFonts w:ascii="Arial" w:hAnsi="Arial" w:cs="Arial"/>
          <w:color w:val="000000"/>
          <w:sz w:val="24"/>
          <w:szCs w:val="24"/>
        </w:rPr>
        <w:t>1</w:t>
      </w:r>
      <w:r w:rsidRPr="00AE1D91">
        <w:rPr>
          <w:rFonts w:ascii="Arial" w:hAnsi="Arial" w:cs="Arial"/>
          <w:color w:val="000000"/>
          <w:sz w:val="24"/>
          <w:szCs w:val="24"/>
        </w:rPr>
        <w:t xml:space="preserve"> </w:t>
      </w:r>
      <w:r w:rsidR="009E5D32" w:rsidRPr="00AE1D91">
        <w:rPr>
          <w:rFonts w:ascii="Arial" w:hAnsi="Arial" w:cs="Arial"/>
          <w:color w:val="000000"/>
          <w:sz w:val="24"/>
          <w:szCs w:val="24"/>
        </w:rPr>
        <w:t xml:space="preserve">The S117 statutory duty arises at the point of discharge but aftercare bodies must ensure that, although timescales are not specified, appropriate planning takes place as soon as possible. Although the duty to provide aftercare begins when the patient leaves hospital, the planning of aftercare should start whilst the patient is in hospital. CTMUHB and LSSAs should take reasonable steps, </w:t>
      </w:r>
      <w:r w:rsidR="009E5D32" w:rsidRPr="00AE1D91">
        <w:rPr>
          <w:rFonts w:ascii="Arial" w:hAnsi="Arial" w:cs="Arial"/>
          <w:color w:val="000000"/>
          <w:sz w:val="24"/>
          <w:szCs w:val="24"/>
        </w:rPr>
        <w:lastRenderedPageBreak/>
        <w:t>in consultation with the patient, their family or carer, care coordinator and other members of the multidisciplinary team, to identify appropriate aftercare services for the patient in good time for their eventual discharge from hospital, or release from prison.</w:t>
      </w:r>
    </w:p>
    <w:p w14:paraId="5A958E97" w14:textId="77777777" w:rsidR="009E5D32" w:rsidRPr="009E5D32" w:rsidRDefault="009E5D32" w:rsidP="00574CEE">
      <w:pPr>
        <w:autoSpaceDE w:val="0"/>
        <w:autoSpaceDN w:val="0"/>
        <w:adjustRightInd w:val="0"/>
        <w:spacing w:after="0" w:line="240" w:lineRule="auto"/>
        <w:jc w:val="both"/>
        <w:rPr>
          <w:rFonts w:ascii="Verdana" w:hAnsi="Verdana" w:cs="Arial"/>
          <w:color w:val="000000"/>
          <w:sz w:val="24"/>
          <w:szCs w:val="24"/>
        </w:rPr>
      </w:pPr>
    </w:p>
    <w:p w14:paraId="368C175D" w14:textId="51B2B9DD" w:rsidR="009E5D32" w:rsidRDefault="00B94BE2" w:rsidP="00AE1D91">
      <w:pPr>
        <w:autoSpaceDE w:val="0"/>
        <w:autoSpaceDN w:val="0"/>
        <w:adjustRightInd w:val="0"/>
        <w:spacing w:after="0" w:line="240" w:lineRule="auto"/>
        <w:ind w:left="851" w:hanging="491"/>
        <w:jc w:val="both"/>
        <w:rPr>
          <w:rFonts w:ascii="Arial" w:hAnsi="Arial" w:cs="Arial"/>
          <w:color w:val="000000"/>
          <w:sz w:val="24"/>
          <w:szCs w:val="24"/>
        </w:rPr>
      </w:pPr>
      <w:r w:rsidRPr="00AE1D91">
        <w:rPr>
          <w:rFonts w:ascii="Arial" w:hAnsi="Arial" w:cs="Arial"/>
          <w:color w:val="000000"/>
          <w:sz w:val="24"/>
          <w:szCs w:val="24"/>
        </w:rPr>
        <w:t>7.2</w:t>
      </w:r>
      <w:r w:rsidRPr="00AE1D91">
        <w:rPr>
          <w:rFonts w:ascii="Arial" w:hAnsi="Arial" w:cs="Arial"/>
          <w:color w:val="000000"/>
          <w:sz w:val="24"/>
          <w:szCs w:val="24"/>
        </w:rPr>
        <w:tab/>
      </w:r>
      <w:r w:rsidR="009E5D32" w:rsidRPr="009E5D32">
        <w:rPr>
          <w:rFonts w:ascii="Arial" w:hAnsi="Arial" w:cs="Arial"/>
          <w:color w:val="000000"/>
          <w:sz w:val="24"/>
          <w:szCs w:val="24"/>
        </w:rPr>
        <w:t>Carers and parents can be important members of the care delivery team, even in certain circumstances where their involvement is not requested by the patient. Part 2 of the Mental Health (Wales) Measure 2010 (the Measure) requires care coordinators to take all practicable steps to consult with parent(s) and any carer(s) who may have a caring relationship with the patient during the preparation or review of the care plan. Consultation may go ahead even if the patient has indicated that they do not wish for the carer to be consulted, provided that due consideration has been given to the patient’s wishes.</w:t>
      </w:r>
    </w:p>
    <w:p w14:paraId="50913058" w14:textId="77777777" w:rsidR="00E477AA" w:rsidRDefault="00E477AA" w:rsidP="00AE1D91">
      <w:pPr>
        <w:autoSpaceDE w:val="0"/>
        <w:autoSpaceDN w:val="0"/>
        <w:adjustRightInd w:val="0"/>
        <w:spacing w:after="0" w:line="240" w:lineRule="auto"/>
        <w:ind w:left="851" w:hanging="491"/>
        <w:jc w:val="both"/>
        <w:rPr>
          <w:rFonts w:ascii="Arial" w:hAnsi="Arial" w:cs="Arial"/>
          <w:color w:val="000000"/>
          <w:sz w:val="24"/>
          <w:szCs w:val="24"/>
        </w:rPr>
      </w:pPr>
    </w:p>
    <w:p w14:paraId="05D3789C" w14:textId="37D5B6CF" w:rsidR="00E477AA" w:rsidRPr="009E5D32" w:rsidRDefault="00E477AA" w:rsidP="00E477AA">
      <w:pPr>
        <w:autoSpaceDE w:val="0"/>
        <w:autoSpaceDN w:val="0"/>
        <w:adjustRightInd w:val="0"/>
        <w:spacing w:after="0" w:line="240" w:lineRule="auto"/>
        <w:ind w:left="851" w:hanging="491"/>
        <w:jc w:val="both"/>
        <w:rPr>
          <w:rFonts w:ascii="Arial" w:hAnsi="Arial" w:cs="Arial"/>
          <w:color w:val="000000"/>
          <w:sz w:val="24"/>
          <w:szCs w:val="24"/>
        </w:rPr>
      </w:pPr>
      <w:r>
        <w:rPr>
          <w:rFonts w:ascii="Arial" w:hAnsi="Arial" w:cs="Arial"/>
          <w:color w:val="000000"/>
          <w:sz w:val="24"/>
          <w:szCs w:val="24"/>
        </w:rPr>
        <w:t>7.3</w:t>
      </w:r>
      <w:r>
        <w:rPr>
          <w:rFonts w:ascii="Arial" w:hAnsi="Arial" w:cs="Arial"/>
          <w:color w:val="000000"/>
          <w:sz w:val="24"/>
          <w:szCs w:val="24"/>
        </w:rPr>
        <w:tab/>
      </w:r>
      <w:r w:rsidRPr="009E5D32">
        <w:rPr>
          <w:rFonts w:ascii="Arial" w:hAnsi="Arial" w:cs="Arial"/>
          <w:color w:val="000000"/>
          <w:sz w:val="24"/>
          <w:szCs w:val="24"/>
        </w:rPr>
        <w:t xml:space="preserve">New detentions under qualifying sections of the Act will be recorded by the Mental Health Act (MHA) Team on the central S117 register.  The register will then be updated with review dates and the name of the allocated Care Coordinator by the relevant Community Mental Health Team (CMHT) then maintained by that CMHT.  </w:t>
      </w:r>
      <w:r w:rsidR="007E0244">
        <w:rPr>
          <w:rFonts w:ascii="Arial" w:hAnsi="Arial" w:cs="Arial"/>
          <w:color w:val="000000"/>
          <w:sz w:val="24"/>
          <w:szCs w:val="24"/>
        </w:rPr>
        <w:t xml:space="preserve">CMHT </w:t>
      </w:r>
      <w:r w:rsidR="001D41D3">
        <w:rPr>
          <w:rFonts w:ascii="Arial" w:hAnsi="Arial" w:cs="Arial"/>
          <w:color w:val="000000"/>
          <w:sz w:val="24"/>
          <w:szCs w:val="24"/>
        </w:rPr>
        <w:t>Admin Team Leaders</w:t>
      </w:r>
      <w:r w:rsidR="007E0244">
        <w:rPr>
          <w:rFonts w:ascii="Arial" w:hAnsi="Arial" w:cs="Arial"/>
          <w:color w:val="000000"/>
          <w:sz w:val="24"/>
          <w:szCs w:val="24"/>
        </w:rPr>
        <w:t xml:space="preserve"> should ensure </w:t>
      </w:r>
      <w:r w:rsidR="001D41D3">
        <w:rPr>
          <w:rFonts w:ascii="Arial" w:hAnsi="Arial" w:cs="Arial"/>
          <w:color w:val="000000"/>
          <w:sz w:val="24"/>
          <w:szCs w:val="24"/>
        </w:rPr>
        <w:t xml:space="preserve">all </w:t>
      </w:r>
      <w:r w:rsidR="00046635">
        <w:rPr>
          <w:rFonts w:ascii="Arial" w:hAnsi="Arial" w:cs="Arial"/>
          <w:color w:val="000000"/>
          <w:sz w:val="24"/>
          <w:szCs w:val="24"/>
        </w:rPr>
        <w:t xml:space="preserve">Community Psychiatric Nurses and Social Workers are aware of </w:t>
      </w:r>
      <w:r w:rsidR="002478B9">
        <w:rPr>
          <w:rFonts w:ascii="Arial" w:hAnsi="Arial" w:cs="Arial"/>
          <w:color w:val="000000"/>
          <w:sz w:val="24"/>
          <w:szCs w:val="24"/>
        </w:rPr>
        <w:t xml:space="preserve">the location of the 117 register.  </w:t>
      </w:r>
      <w:r w:rsidRPr="009E5D32">
        <w:rPr>
          <w:rFonts w:ascii="Arial" w:hAnsi="Arial" w:cs="Arial"/>
          <w:color w:val="000000"/>
          <w:sz w:val="24"/>
          <w:szCs w:val="24"/>
        </w:rPr>
        <w:t>The MHA team will inform the relevant CMHT when a patient has been discharged from detention under the Act (see Appendix).</w:t>
      </w:r>
    </w:p>
    <w:p w14:paraId="666B3D82" w14:textId="1CC6B704" w:rsidR="00E477AA" w:rsidRDefault="00E477AA" w:rsidP="00AE1D91">
      <w:pPr>
        <w:autoSpaceDE w:val="0"/>
        <w:autoSpaceDN w:val="0"/>
        <w:adjustRightInd w:val="0"/>
        <w:spacing w:after="0" w:line="240" w:lineRule="auto"/>
        <w:ind w:left="851" w:hanging="491"/>
        <w:jc w:val="both"/>
        <w:rPr>
          <w:rFonts w:ascii="Arial" w:hAnsi="Arial" w:cs="Arial"/>
          <w:color w:val="000000"/>
          <w:sz w:val="24"/>
          <w:szCs w:val="24"/>
        </w:rPr>
      </w:pPr>
    </w:p>
    <w:p w14:paraId="7462967C" w14:textId="77777777" w:rsidR="00E477AA" w:rsidRPr="009E5D32" w:rsidRDefault="00E477AA" w:rsidP="00E477AA">
      <w:pPr>
        <w:autoSpaceDE w:val="0"/>
        <w:autoSpaceDN w:val="0"/>
        <w:adjustRightInd w:val="0"/>
        <w:spacing w:after="0" w:line="240" w:lineRule="auto"/>
        <w:ind w:left="851" w:hanging="491"/>
        <w:jc w:val="both"/>
        <w:rPr>
          <w:rFonts w:ascii="Arial" w:hAnsi="Arial" w:cs="Arial"/>
          <w:color w:val="000000"/>
          <w:sz w:val="24"/>
          <w:szCs w:val="24"/>
        </w:rPr>
      </w:pPr>
      <w:r>
        <w:rPr>
          <w:rFonts w:ascii="Arial" w:hAnsi="Arial" w:cs="Arial"/>
          <w:color w:val="000000"/>
          <w:sz w:val="24"/>
          <w:szCs w:val="24"/>
        </w:rPr>
        <w:t>7.4</w:t>
      </w:r>
      <w:r>
        <w:rPr>
          <w:rFonts w:ascii="Arial" w:hAnsi="Arial" w:cs="Arial"/>
          <w:color w:val="000000"/>
          <w:sz w:val="24"/>
          <w:szCs w:val="24"/>
        </w:rPr>
        <w:tab/>
      </w:r>
      <w:r w:rsidRPr="009E5D32">
        <w:rPr>
          <w:rFonts w:ascii="Arial" w:hAnsi="Arial" w:cs="Arial"/>
          <w:color w:val="000000"/>
          <w:sz w:val="24"/>
          <w:szCs w:val="24"/>
        </w:rPr>
        <w:t>S117 aftercare planning meetings must be documented fully using the appropriate review form.  The planning and implementation of Aftercare services should be completed using the existing processes contained in Part 2 of the Measure.</w:t>
      </w:r>
    </w:p>
    <w:p w14:paraId="3751A1A3" w14:textId="0533FA9A" w:rsidR="00E477AA" w:rsidRDefault="00E477AA" w:rsidP="00AE1D91">
      <w:pPr>
        <w:autoSpaceDE w:val="0"/>
        <w:autoSpaceDN w:val="0"/>
        <w:adjustRightInd w:val="0"/>
        <w:spacing w:after="0" w:line="240" w:lineRule="auto"/>
        <w:ind w:left="851" w:hanging="491"/>
        <w:jc w:val="both"/>
        <w:rPr>
          <w:rFonts w:ascii="Arial" w:hAnsi="Arial" w:cs="Arial"/>
          <w:color w:val="000000"/>
          <w:sz w:val="24"/>
          <w:szCs w:val="24"/>
        </w:rPr>
      </w:pPr>
    </w:p>
    <w:p w14:paraId="0E5ED0E4" w14:textId="77777777" w:rsidR="00EA61A4" w:rsidRPr="009E5D32" w:rsidRDefault="00EA61A4" w:rsidP="00EA61A4">
      <w:pPr>
        <w:autoSpaceDE w:val="0"/>
        <w:autoSpaceDN w:val="0"/>
        <w:adjustRightInd w:val="0"/>
        <w:spacing w:after="0" w:line="240" w:lineRule="auto"/>
        <w:ind w:left="851" w:hanging="491"/>
        <w:jc w:val="both"/>
        <w:rPr>
          <w:rFonts w:ascii="Arial" w:hAnsi="Arial" w:cs="Arial"/>
          <w:color w:val="000000"/>
          <w:sz w:val="24"/>
          <w:szCs w:val="24"/>
        </w:rPr>
      </w:pPr>
      <w:r>
        <w:rPr>
          <w:rFonts w:ascii="Arial" w:hAnsi="Arial" w:cs="Arial"/>
          <w:color w:val="000000"/>
          <w:sz w:val="24"/>
          <w:szCs w:val="24"/>
        </w:rPr>
        <w:t>7.5</w:t>
      </w:r>
      <w:r>
        <w:rPr>
          <w:rFonts w:ascii="Arial" w:hAnsi="Arial" w:cs="Arial"/>
          <w:color w:val="000000"/>
          <w:sz w:val="24"/>
          <w:szCs w:val="24"/>
        </w:rPr>
        <w:tab/>
      </w:r>
      <w:r w:rsidRPr="009E5D32">
        <w:rPr>
          <w:rFonts w:ascii="Arial" w:hAnsi="Arial" w:cs="Arial"/>
          <w:color w:val="000000"/>
          <w:sz w:val="24"/>
          <w:szCs w:val="24"/>
        </w:rPr>
        <w:t>The Care Coordinator will arrange an initial review of the Care Plan within an appropriate timescale (to be determined on a case by case basis according to need and standard practice). Care plans for patients receiving after-care under S117 should be as often as required but once every twelve months as a statutory minimum, within the CTP process.</w:t>
      </w:r>
    </w:p>
    <w:p w14:paraId="45201B4B" w14:textId="66807E30" w:rsidR="00EA61A4" w:rsidRDefault="00EA61A4" w:rsidP="00AE1D91">
      <w:pPr>
        <w:autoSpaceDE w:val="0"/>
        <w:autoSpaceDN w:val="0"/>
        <w:adjustRightInd w:val="0"/>
        <w:spacing w:after="0" w:line="240" w:lineRule="auto"/>
        <w:ind w:left="851" w:hanging="491"/>
        <w:jc w:val="both"/>
        <w:rPr>
          <w:rFonts w:ascii="Arial" w:hAnsi="Arial" w:cs="Arial"/>
          <w:color w:val="000000"/>
          <w:sz w:val="24"/>
          <w:szCs w:val="24"/>
        </w:rPr>
      </w:pPr>
    </w:p>
    <w:p w14:paraId="292572B9" w14:textId="77777777" w:rsidR="008B32B6" w:rsidRPr="009E5D32" w:rsidRDefault="00EA61A4" w:rsidP="008B32B6">
      <w:pPr>
        <w:autoSpaceDE w:val="0"/>
        <w:autoSpaceDN w:val="0"/>
        <w:adjustRightInd w:val="0"/>
        <w:spacing w:after="0" w:line="240" w:lineRule="auto"/>
        <w:ind w:left="851" w:hanging="491"/>
        <w:jc w:val="both"/>
        <w:rPr>
          <w:rFonts w:ascii="Arial" w:hAnsi="Arial" w:cs="Arial"/>
          <w:color w:val="000000"/>
          <w:sz w:val="24"/>
          <w:szCs w:val="24"/>
        </w:rPr>
      </w:pPr>
      <w:r>
        <w:rPr>
          <w:rFonts w:ascii="Arial" w:hAnsi="Arial" w:cs="Arial"/>
          <w:color w:val="000000"/>
          <w:sz w:val="24"/>
          <w:szCs w:val="24"/>
        </w:rPr>
        <w:t>7.6</w:t>
      </w:r>
      <w:r w:rsidR="008B32B6">
        <w:rPr>
          <w:rFonts w:ascii="Arial" w:hAnsi="Arial" w:cs="Arial"/>
          <w:color w:val="000000"/>
          <w:sz w:val="24"/>
          <w:szCs w:val="24"/>
        </w:rPr>
        <w:tab/>
      </w:r>
      <w:r w:rsidR="008B32B6" w:rsidRPr="009E5D32">
        <w:rPr>
          <w:rFonts w:ascii="Arial" w:hAnsi="Arial" w:cs="Arial"/>
          <w:color w:val="000000"/>
          <w:sz w:val="24"/>
          <w:szCs w:val="24"/>
        </w:rPr>
        <w:t xml:space="preserve">This meeting may include the following people: </w:t>
      </w:r>
    </w:p>
    <w:p w14:paraId="1CAEF3E8" w14:textId="77777777" w:rsidR="008B32B6" w:rsidRPr="008B32B6" w:rsidRDefault="008B32B6" w:rsidP="008B32B6">
      <w:pPr>
        <w:autoSpaceDE w:val="0"/>
        <w:autoSpaceDN w:val="0"/>
        <w:adjustRightInd w:val="0"/>
        <w:spacing w:after="0" w:line="240" w:lineRule="auto"/>
        <w:ind w:left="851" w:hanging="491"/>
        <w:jc w:val="both"/>
        <w:rPr>
          <w:rFonts w:ascii="Arial" w:hAnsi="Arial" w:cs="Arial"/>
          <w:color w:val="000000"/>
          <w:sz w:val="24"/>
          <w:szCs w:val="24"/>
        </w:rPr>
      </w:pPr>
    </w:p>
    <w:p w14:paraId="7ECFD6CE" w14:textId="77777777" w:rsidR="008B32B6" w:rsidRPr="008B32B6" w:rsidRDefault="008B32B6" w:rsidP="008B32B6">
      <w:pPr>
        <w:numPr>
          <w:ilvl w:val="0"/>
          <w:numId w:val="12"/>
        </w:numPr>
        <w:autoSpaceDE w:val="0"/>
        <w:autoSpaceDN w:val="0"/>
        <w:adjustRightInd w:val="0"/>
        <w:spacing w:after="0" w:line="240" w:lineRule="auto"/>
        <w:jc w:val="both"/>
        <w:rPr>
          <w:rFonts w:ascii="Arial" w:hAnsi="Arial" w:cs="Arial"/>
          <w:color w:val="000000"/>
          <w:sz w:val="24"/>
          <w:szCs w:val="24"/>
        </w:rPr>
      </w:pPr>
      <w:r w:rsidRPr="008B32B6">
        <w:rPr>
          <w:rFonts w:ascii="Arial" w:hAnsi="Arial" w:cs="Arial"/>
          <w:color w:val="000000"/>
          <w:sz w:val="24"/>
          <w:szCs w:val="24"/>
        </w:rPr>
        <w:t>The patient, if they wish and/or a nominated representative or advocate</w:t>
      </w:r>
    </w:p>
    <w:p w14:paraId="0670A0A3" w14:textId="77777777" w:rsidR="008B32B6" w:rsidRPr="008B32B6" w:rsidRDefault="008B32B6" w:rsidP="008B32B6">
      <w:pPr>
        <w:numPr>
          <w:ilvl w:val="0"/>
          <w:numId w:val="12"/>
        </w:numPr>
        <w:autoSpaceDE w:val="0"/>
        <w:autoSpaceDN w:val="0"/>
        <w:adjustRightInd w:val="0"/>
        <w:spacing w:after="0" w:line="240" w:lineRule="auto"/>
        <w:jc w:val="both"/>
        <w:rPr>
          <w:rFonts w:ascii="Arial" w:hAnsi="Arial" w:cs="Arial"/>
          <w:color w:val="000000"/>
          <w:sz w:val="24"/>
          <w:szCs w:val="24"/>
        </w:rPr>
      </w:pPr>
      <w:r w:rsidRPr="008B32B6">
        <w:rPr>
          <w:rFonts w:ascii="Arial" w:hAnsi="Arial" w:cs="Arial"/>
          <w:color w:val="000000"/>
          <w:sz w:val="24"/>
          <w:szCs w:val="24"/>
        </w:rPr>
        <w:t>The patient’s Responsible Clinician (RC)</w:t>
      </w:r>
    </w:p>
    <w:p w14:paraId="29CF542C" w14:textId="77777777" w:rsidR="008B32B6" w:rsidRPr="008B32B6" w:rsidRDefault="008B32B6" w:rsidP="008B32B6">
      <w:pPr>
        <w:numPr>
          <w:ilvl w:val="0"/>
          <w:numId w:val="12"/>
        </w:numPr>
        <w:autoSpaceDE w:val="0"/>
        <w:autoSpaceDN w:val="0"/>
        <w:adjustRightInd w:val="0"/>
        <w:spacing w:after="0" w:line="240" w:lineRule="auto"/>
        <w:jc w:val="both"/>
        <w:rPr>
          <w:rFonts w:ascii="Arial" w:hAnsi="Arial" w:cs="Arial"/>
          <w:color w:val="000000"/>
          <w:sz w:val="24"/>
          <w:szCs w:val="24"/>
        </w:rPr>
      </w:pPr>
      <w:r w:rsidRPr="008B32B6">
        <w:rPr>
          <w:rFonts w:ascii="Arial" w:hAnsi="Arial" w:cs="Arial"/>
          <w:color w:val="000000"/>
          <w:sz w:val="24"/>
          <w:szCs w:val="24"/>
        </w:rPr>
        <w:t>Social Worker/Care Manager</w:t>
      </w:r>
    </w:p>
    <w:p w14:paraId="11DCF65A" w14:textId="77777777" w:rsidR="008B32B6" w:rsidRPr="008B32B6" w:rsidRDefault="008B32B6" w:rsidP="008B32B6">
      <w:pPr>
        <w:numPr>
          <w:ilvl w:val="0"/>
          <w:numId w:val="12"/>
        </w:numPr>
        <w:autoSpaceDE w:val="0"/>
        <w:autoSpaceDN w:val="0"/>
        <w:adjustRightInd w:val="0"/>
        <w:spacing w:after="0" w:line="240" w:lineRule="auto"/>
        <w:jc w:val="both"/>
        <w:rPr>
          <w:rFonts w:ascii="Arial" w:hAnsi="Arial" w:cs="Arial"/>
          <w:color w:val="000000"/>
          <w:sz w:val="24"/>
          <w:szCs w:val="24"/>
        </w:rPr>
      </w:pPr>
      <w:r w:rsidRPr="008B32B6">
        <w:rPr>
          <w:rFonts w:ascii="Arial" w:hAnsi="Arial" w:cs="Arial"/>
          <w:color w:val="000000"/>
          <w:sz w:val="24"/>
          <w:szCs w:val="24"/>
        </w:rPr>
        <w:t xml:space="preserve">Support Worker(s) </w:t>
      </w:r>
    </w:p>
    <w:p w14:paraId="64E3906B" w14:textId="77777777" w:rsidR="008B32B6" w:rsidRPr="008B32B6" w:rsidRDefault="008B32B6" w:rsidP="008B32B6">
      <w:pPr>
        <w:numPr>
          <w:ilvl w:val="0"/>
          <w:numId w:val="12"/>
        </w:numPr>
        <w:autoSpaceDE w:val="0"/>
        <w:autoSpaceDN w:val="0"/>
        <w:adjustRightInd w:val="0"/>
        <w:spacing w:after="0" w:line="240" w:lineRule="auto"/>
        <w:jc w:val="both"/>
        <w:rPr>
          <w:rFonts w:ascii="Arial" w:hAnsi="Arial" w:cs="Arial"/>
          <w:color w:val="000000"/>
          <w:sz w:val="24"/>
          <w:szCs w:val="24"/>
        </w:rPr>
      </w:pPr>
      <w:r w:rsidRPr="008B32B6">
        <w:rPr>
          <w:rFonts w:ascii="Arial" w:hAnsi="Arial" w:cs="Arial"/>
          <w:color w:val="000000"/>
          <w:sz w:val="24"/>
          <w:szCs w:val="24"/>
        </w:rPr>
        <w:t>GP and other representatives of the Primary Care Team</w:t>
      </w:r>
    </w:p>
    <w:p w14:paraId="09283BC8" w14:textId="77777777" w:rsidR="008B32B6" w:rsidRPr="008B32B6" w:rsidRDefault="008B32B6" w:rsidP="008B32B6">
      <w:pPr>
        <w:numPr>
          <w:ilvl w:val="0"/>
          <w:numId w:val="12"/>
        </w:numPr>
        <w:autoSpaceDE w:val="0"/>
        <w:autoSpaceDN w:val="0"/>
        <w:adjustRightInd w:val="0"/>
        <w:spacing w:after="0" w:line="240" w:lineRule="auto"/>
        <w:jc w:val="both"/>
        <w:rPr>
          <w:rFonts w:ascii="Arial" w:hAnsi="Arial" w:cs="Arial"/>
          <w:color w:val="000000"/>
          <w:sz w:val="24"/>
          <w:szCs w:val="24"/>
        </w:rPr>
      </w:pPr>
      <w:r w:rsidRPr="008B32B6">
        <w:rPr>
          <w:rFonts w:ascii="Arial" w:hAnsi="Arial" w:cs="Arial"/>
          <w:color w:val="000000"/>
          <w:sz w:val="24"/>
          <w:szCs w:val="24"/>
        </w:rPr>
        <w:t>Community Psychiatric/Mental Health Nurse</w:t>
      </w:r>
    </w:p>
    <w:p w14:paraId="678A1223" w14:textId="77777777" w:rsidR="008B32B6" w:rsidRPr="008B32B6" w:rsidRDefault="008B32B6" w:rsidP="008B32B6">
      <w:pPr>
        <w:numPr>
          <w:ilvl w:val="0"/>
          <w:numId w:val="12"/>
        </w:numPr>
        <w:autoSpaceDE w:val="0"/>
        <w:autoSpaceDN w:val="0"/>
        <w:adjustRightInd w:val="0"/>
        <w:spacing w:after="0" w:line="240" w:lineRule="auto"/>
        <w:jc w:val="both"/>
        <w:rPr>
          <w:rFonts w:ascii="Arial" w:hAnsi="Arial" w:cs="Arial"/>
          <w:color w:val="000000"/>
          <w:sz w:val="24"/>
          <w:szCs w:val="24"/>
        </w:rPr>
      </w:pPr>
      <w:r w:rsidRPr="008B32B6">
        <w:rPr>
          <w:rFonts w:ascii="Arial" w:hAnsi="Arial" w:cs="Arial"/>
          <w:color w:val="000000"/>
          <w:sz w:val="24"/>
          <w:szCs w:val="24"/>
        </w:rPr>
        <w:t xml:space="preserve">IMHA or IMCA </w:t>
      </w:r>
    </w:p>
    <w:p w14:paraId="36E6C88B" w14:textId="77777777" w:rsidR="008B32B6" w:rsidRPr="008B32B6" w:rsidRDefault="008B32B6" w:rsidP="008B32B6">
      <w:pPr>
        <w:numPr>
          <w:ilvl w:val="0"/>
          <w:numId w:val="12"/>
        </w:numPr>
        <w:autoSpaceDE w:val="0"/>
        <w:autoSpaceDN w:val="0"/>
        <w:adjustRightInd w:val="0"/>
        <w:spacing w:after="0" w:line="240" w:lineRule="auto"/>
        <w:jc w:val="both"/>
        <w:rPr>
          <w:rFonts w:ascii="Arial" w:hAnsi="Arial" w:cs="Arial"/>
          <w:color w:val="000000"/>
          <w:sz w:val="24"/>
          <w:szCs w:val="24"/>
        </w:rPr>
      </w:pPr>
      <w:r w:rsidRPr="008B32B6">
        <w:rPr>
          <w:rFonts w:ascii="Arial" w:hAnsi="Arial" w:cs="Arial"/>
          <w:color w:val="000000"/>
          <w:sz w:val="24"/>
          <w:szCs w:val="24"/>
        </w:rPr>
        <w:t>In the case of a restricted patient, the Probation Service / MAPPA Coordinator</w:t>
      </w:r>
    </w:p>
    <w:p w14:paraId="4EA851B0" w14:textId="77777777" w:rsidR="008B32B6" w:rsidRPr="008B32B6" w:rsidRDefault="008B32B6" w:rsidP="008B32B6">
      <w:pPr>
        <w:numPr>
          <w:ilvl w:val="0"/>
          <w:numId w:val="12"/>
        </w:numPr>
        <w:autoSpaceDE w:val="0"/>
        <w:autoSpaceDN w:val="0"/>
        <w:adjustRightInd w:val="0"/>
        <w:spacing w:after="0" w:line="240" w:lineRule="auto"/>
        <w:jc w:val="both"/>
        <w:rPr>
          <w:rFonts w:ascii="Arial" w:hAnsi="Arial" w:cs="Arial"/>
          <w:color w:val="000000"/>
          <w:sz w:val="24"/>
          <w:szCs w:val="24"/>
        </w:rPr>
      </w:pPr>
      <w:r w:rsidRPr="008B32B6">
        <w:rPr>
          <w:rFonts w:ascii="Arial" w:hAnsi="Arial" w:cs="Arial"/>
          <w:color w:val="000000"/>
          <w:sz w:val="24"/>
          <w:szCs w:val="24"/>
        </w:rPr>
        <w:lastRenderedPageBreak/>
        <w:t>Subject to the patient’s consent, any informal carer who will be involved in looking after him/her outside hospital</w:t>
      </w:r>
    </w:p>
    <w:p w14:paraId="2A52BAEF" w14:textId="77777777" w:rsidR="008B32B6" w:rsidRPr="008B32B6" w:rsidRDefault="008B32B6" w:rsidP="008B32B6">
      <w:pPr>
        <w:numPr>
          <w:ilvl w:val="0"/>
          <w:numId w:val="12"/>
        </w:numPr>
        <w:autoSpaceDE w:val="0"/>
        <w:autoSpaceDN w:val="0"/>
        <w:adjustRightInd w:val="0"/>
        <w:spacing w:after="0" w:line="240" w:lineRule="auto"/>
        <w:jc w:val="both"/>
        <w:rPr>
          <w:rFonts w:ascii="Arial" w:hAnsi="Arial" w:cs="Arial"/>
          <w:color w:val="000000"/>
          <w:sz w:val="24"/>
          <w:szCs w:val="24"/>
        </w:rPr>
      </w:pPr>
      <w:r w:rsidRPr="008B32B6">
        <w:rPr>
          <w:rFonts w:ascii="Arial" w:hAnsi="Arial" w:cs="Arial"/>
          <w:color w:val="000000"/>
          <w:sz w:val="24"/>
          <w:szCs w:val="24"/>
        </w:rPr>
        <w:t>Subject to the patient’s consent, their nearest relative</w:t>
      </w:r>
    </w:p>
    <w:p w14:paraId="42DA2F2D" w14:textId="77777777" w:rsidR="008B32B6" w:rsidRPr="008B32B6" w:rsidRDefault="008B32B6" w:rsidP="008B32B6">
      <w:pPr>
        <w:numPr>
          <w:ilvl w:val="0"/>
          <w:numId w:val="12"/>
        </w:numPr>
        <w:autoSpaceDE w:val="0"/>
        <w:autoSpaceDN w:val="0"/>
        <w:adjustRightInd w:val="0"/>
        <w:spacing w:after="0" w:line="240" w:lineRule="auto"/>
        <w:jc w:val="both"/>
        <w:rPr>
          <w:rFonts w:ascii="Arial" w:hAnsi="Arial" w:cs="Arial"/>
          <w:color w:val="000000"/>
          <w:sz w:val="24"/>
          <w:szCs w:val="24"/>
        </w:rPr>
      </w:pPr>
      <w:r w:rsidRPr="008B32B6">
        <w:rPr>
          <w:rFonts w:ascii="Arial" w:hAnsi="Arial" w:cs="Arial"/>
          <w:color w:val="000000"/>
          <w:sz w:val="24"/>
          <w:szCs w:val="24"/>
        </w:rPr>
        <w:t>Employment/Housing/Education as appropriate</w:t>
      </w:r>
    </w:p>
    <w:p w14:paraId="4750AEB5" w14:textId="77777777" w:rsidR="008B32B6" w:rsidRPr="008B32B6" w:rsidRDefault="008B32B6" w:rsidP="008B32B6">
      <w:pPr>
        <w:numPr>
          <w:ilvl w:val="0"/>
          <w:numId w:val="12"/>
        </w:numPr>
        <w:autoSpaceDE w:val="0"/>
        <w:autoSpaceDN w:val="0"/>
        <w:adjustRightInd w:val="0"/>
        <w:spacing w:after="0" w:line="240" w:lineRule="auto"/>
        <w:jc w:val="both"/>
        <w:rPr>
          <w:rFonts w:ascii="Arial" w:hAnsi="Arial" w:cs="Arial"/>
          <w:color w:val="000000"/>
          <w:sz w:val="24"/>
          <w:szCs w:val="24"/>
        </w:rPr>
      </w:pPr>
      <w:r w:rsidRPr="008B32B6">
        <w:rPr>
          <w:rFonts w:ascii="Arial" w:hAnsi="Arial" w:cs="Arial"/>
          <w:color w:val="000000"/>
          <w:sz w:val="24"/>
          <w:szCs w:val="24"/>
        </w:rPr>
        <w:t>Primary Mental Health Support Service</w:t>
      </w:r>
    </w:p>
    <w:p w14:paraId="4EF6C375" w14:textId="7D4B3C07" w:rsidR="00EA61A4" w:rsidRDefault="00EA61A4" w:rsidP="00AE1D91">
      <w:pPr>
        <w:autoSpaceDE w:val="0"/>
        <w:autoSpaceDN w:val="0"/>
        <w:adjustRightInd w:val="0"/>
        <w:spacing w:after="0" w:line="240" w:lineRule="auto"/>
        <w:ind w:left="851" w:hanging="491"/>
        <w:jc w:val="both"/>
        <w:rPr>
          <w:rFonts w:ascii="Arial" w:hAnsi="Arial" w:cs="Arial"/>
          <w:color w:val="000000"/>
          <w:sz w:val="24"/>
          <w:szCs w:val="24"/>
        </w:rPr>
      </w:pPr>
    </w:p>
    <w:p w14:paraId="5C57FC0B" w14:textId="77777777" w:rsidR="00C730C7" w:rsidRPr="009E5D32" w:rsidRDefault="00C730C7" w:rsidP="00C730C7">
      <w:pPr>
        <w:autoSpaceDE w:val="0"/>
        <w:autoSpaceDN w:val="0"/>
        <w:adjustRightInd w:val="0"/>
        <w:spacing w:after="0" w:line="240" w:lineRule="auto"/>
        <w:ind w:left="851" w:hanging="491"/>
        <w:jc w:val="both"/>
        <w:rPr>
          <w:rFonts w:ascii="Arial" w:hAnsi="Arial" w:cs="Arial"/>
          <w:color w:val="000000"/>
          <w:sz w:val="24"/>
          <w:szCs w:val="24"/>
        </w:rPr>
      </w:pPr>
      <w:r>
        <w:rPr>
          <w:rFonts w:ascii="Arial" w:hAnsi="Arial" w:cs="Arial"/>
          <w:color w:val="000000"/>
          <w:sz w:val="24"/>
          <w:szCs w:val="24"/>
        </w:rPr>
        <w:t>7.7</w:t>
      </w:r>
      <w:r>
        <w:rPr>
          <w:rFonts w:ascii="Arial" w:hAnsi="Arial" w:cs="Arial"/>
          <w:color w:val="000000"/>
          <w:sz w:val="24"/>
          <w:szCs w:val="24"/>
        </w:rPr>
        <w:tab/>
      </w:r>
      <w:r w:rsidRPr="009E5D32">
        <w:rPr>
          <w:rFonts w:ascii="Arial" w:hAnsi="Arial" w:cs="Arial"/>
          <w:color w:val="000000"/>
          <w:sz w:val="24"/>
          <w:szCs w:val="24"/>
        </w:rPr>
        <w:t>Aftercare arrangements should be recorded in the care and treatment plan. It is recommended that meeting the requirements to regularly review care plans are combined to reduce the need for multiple meetings.</w:t>
      </w:r>
    </w:p>
    <w:p w14:paraId="36A75ED9" w14:textId="366D107B" w:rsidR="00C730C7" w:rsidRDefault="00C730C7" w:rsidP="00AE1D91">
      <w:pPr>
        <w:autoSpaceDE w:val="0"/>
        <w:autoSpaceDN w:val="0"/>
        <w:adjustRightInd w:val="0"/>
        <w:spacing w:after="0" w:line="240" w:lineRule="auto"/>
        <w:ind w:left="851" w:hanging="491"/>
        <w:jc w:val="both"/>
        <w:rPr>
          <w:rFonts w:ascii="Arial" w:hAnsi="Arial" w:cs="Arial"/>
          <w:color w:val="000000"/>
          <w:sz w:val="24"/>
          <w:szCs w:val="24"/>
        </w:rPr>
      </w:pPr>
    </w:p>
    <w:p w14:paraId="094C381D" w14:textId="77777777" w:rsidR="00C730C7" w:rsidRPr="009E5D32" w:rsidRDefault="00C730C7" w:rsidP="00C730C7">
      <w:pPr>
        <w:autoSpaceDE w:val="0"/>
        <w:autoSpaceDN w:val="0"/>
        <w:adjustRightInd w:val="0"/>
        <w:spacing w:after="0" w:line="240" w:lineRule="auto"/>
        <w:ind w:left="851" w:hanging="491"/>
        <w:jc w:val="both"/>
        <w:rPr>
          <w:rFonts w:ascii="Arial" w:hAnsi="Arial" w:cs="Arial"/>
          <w:color w:val="000000"/>
          <w:sz w:val="24"/>
          <w:szCs w:val="24"/>
        </w:rPr>
      </w:pPr>
      <w:r>
        <w:rPr>
          <w:rFonts w:ascii="Arial" w:hAnsi="Arial" w:cs="Arial"/>
          <w:color w:val="000000"/>
          <w:sz w:val="24"/>
          <w:szCs w:val="24"/>
        </w:rPr>
        <w:t>7.8</w:t>
      </w:r>
      <w:r>
        <w:rPr>
          <w:rFonts w:ascii="Arial" w:hAnsi="Arial" w:cs="Arial"/>
          <w:color w:val="000000"/>
          <w:sz w:val="24"/>
          <w:szCs w:val="24"/>
        </w:rPr>
        <w:tab/>
      </w:r>
      <w:r w:rsidRPr="009E5D32">
        <w:rPr>
          <w:rFonts w:ascii="Arial" w:hAnsi="Arial" w:cs="Arial"/>
          <w:color w:val="000000"/>
          <w:sz w:val="24"/>
          <w:szCs w:val="24"/>
        </w:rPr>
        <w:t>All care plans must include specific detail of which services are to be provided under S117.</w:t>
      </w:r>
    </w:p>
    <w:p w14:paraId="7FD23B48" w14:textId="4C115866" w:rsidR="00C730C7" w:rsidRDefault="00C730C7" w:rsidP="00AE1D91">
      <w:pPr>
        <w:autoSpaceDE w:val="0"/>
        <w:autoSpaceDN w:val="0"/>
        <w:adjustRightInd w:val="0"/>
        <w:spacing w:after="0" w:line="240" w:lineRule="auto"/>
        <w:ind w:left="851" w:hanging="491"/>
        <w:jc w:val="both"/>
        <w:rPr>
          <w:rFonts w:ascii="Arial" w:hAnsi="Arial" w:cs="Arial"/>
          <w:color w:val="000000"/>
          <w:sz w:val="24"/>
          <w:szCs w:val="24"/>
        </w:rPr>
      </w:pPr>
    </w:p>
    <w:p w14:paraId="687881AC" w14:textId="77777777" w:rsidR="00831736" w:rsidRPr="009E5D32" w:rsidRDefault="00C730C7" w:rsidP="00831736">
      <w:pPr>
        <w:autoSpaceDE w:val="0"/>
        <w:autoSpaceDN w:val="0"/>
        <w:adjustRightInd w:val="0"/>
        <w:spacing w:after="0" w:line="240" w:lineRule="auto"/>
        <w:ind w:left="851" w:hanging="491"/>
        <w:jc w:val="both"/>
        <w:rPr>
          <w:rFonts w:ascii="Arial" w:hAnsi="Arial" w:cs="Arial"/>
          <w:color w:val="000000"/>
          <w:sz w:val="24"/>
          <w:szCs w:val="24"/>
        </w:rPr>
      </w:pPr>
      <w:r>
        <w:rPr>
          <w:rFonts w:ascii="Arial" w:hAnsi="Arial" w:cs="Arial"/>
          <w:color w:val="000000"/>
          <w:sz w:val="24"/>
          <w:szCs w:val="24"/>
        </w:rPr>
        <w:t>7</w:t>
      </w:r>
      <w:r w:rsidR="006430D3">
        <w:rPr>
          <w:rFonts w:ascii="Arial" w:hAnsi="Arial" w:cs="Arial"/>
          <w:color w:val="000000"/>
          <w:sz w:val="24"/>
          <w:szCs w:val="24"/>
        </w:rPr>
        <w:t>.9</w:t>
      </w:r>
      <w:r w:rsidR="006430D3">
        <w:rPr>
          <w:rFonts w:ascii="Arial" w:hAnsi="Arial" w:cs="Arial"/>
          <w:color w:val="000000"/>
          <w:sz w:val="24"/>
          <w:szCs w:val="24"/>
        </w:rPr>
        <w:tab/>
      </w:r>
      <w:r w:rsidR="00831736" w:rsidRPr="009E5D32">
        <w:rPr>
          <w:rFonts w:ascii="Arial" w:hAnsi="Arial" w:cs="Arial"/>
          <w:color w:val="000000"/>
          <w:sz w:val="24"/>
          <w:szCs w:val="24"/>
        </w:rPr>
        <w:t>Each review must include an explicit decision on whether the person continues to be eligible for S117 aftercare and what services are required to support them.</w:t>
      </w:r>
    </w:p>
    <w:p w14:paraId="0041C3F5" w14:textId="7213979F" w:rsidR="00C730C7" w:rsidRPr="009E5D32" w:rsidRDefault="00C730C7" w:rsidP="00AE1D91">
      <w:pPr>
        <w:autoSpaceDE w:val="0"/>
        <w:autoSpaceDN w:val="0"/>
        <w:adjustRightInd w:val="0"/>
        <w:spacing w:after="0" w:line="240" w:lineRule="auto"/>
        <w:ind w:left="851" w:hanging="491"/>
        <w:jc w:val="both"/>
        <w:rPr>
          <w:rFonts w:ascii="Arial" w:hAnsi="Arial" w:cs="Arial"/>
          <w:color w:val="000000"/>
          <w:sz w:val="24"/>
          <w:szCs w:val="24"/>
        </w:rPr>
      </w:pPr>
    </w:p>
    <w:p w14:paraId="072E7F42" w14:textId="5ED727ED" w:rsidR="00EB27A7" w:rsidRPr="00EB27A7" w:rsidRDefault="00EB27A7" w:rsidP="00EB27A7">
      <w:pPr>
        <w:autoSpaceDE w:val="0"/>
        <w:autoSpaceDN w:val="0"/>
        <w:adjustRightInd w:val="0"/>
        <w:spacing w:after="0" w:line="240" w:lineRule="auto"/>
        <w:ind w:left="720" w:hanging="720"/>
        <w:jc w:val="both"/>
        <w:rPr>
          <w:rFonts w:ascii="Verdana" w:hAnsi="Verdana" w:cs="Arial"/>
          <w:color w:val="000000"/>
          <w:sz w:val="24"/>
          <w:szCs w:val="24"/>
        </w:rPr>
      </w:pPr>
      <w:r>
        <w:rPr>
          <w:rFonts w:ascii="Verdana" w:hAnsi="Verdana" w:cs="Arial"/>
          <w:color w:val="000000"/>
          <w:sz w:val="24"/>
          <w:szCs w:val="24"/>
        </w:rPr>
        <w:t>7.10</w:t>
      </w:r>
      <w:r>
        <w:rPr>
          <w:rFonts w:ascii="Verdana" w:hAnsi="Verdana" w:cs="Arial"/>
          <w:color w:val="000000"/>
          <w:sz w:val="24"/>
          <w:szCs w:val="24"/>
        </w:rPr>
        <w:tab/>
      </w:r>
      <w:r w:rsidRPr="00EB27A7">
        <w:rPr>
          <w:rFonts w:ascii="Arial" w:hAnsi="Arial" w:cs="Arial"/>
          <w:color w:val="000000"/>
          <w:sz w:val="24"/>
          <w:szCs w:val="24"/>
        </w:rPr>
        <w:t>Within the framework of the Care and Treatment Planning (CTP), a written care plan, based on a full assessment of the patient’s needs, and which specifies S117 after-care arrangements, must be in place before:</w:t>
      </w:r>
    </w:p>
    <w:p w14:paraId="1DD4BAAE" w14:textId="77777777" w:rsidR="00EB27A7" w:rsidRPr="00EB27A7" w:rsidRDefault="00EB27A7" w:rsidP="00EB27A7">
      <w:pPr>
        <w:autoSpaceDE w:val="0"/>
        <w:autoSpaceDN w:val="0"/>
        <w:adjustRightInd w:val="0"/>
        <w:spacing w:after="0" w:line="240" w:lineRule="auto"/>
        <w:jc w:val="both"/>
        <w:rPr>
          <w:rFonts w:ascii="Verdana" w:hAnsi="Verdana" w:cs="Arial"/>
          <w:color w:val="000000"/>
          <w:sz w:val="24"/>
          <w:szCs w:val="24"/>
        </w:rPr>
      </w:pPr>
    </w:p>
    <w:p w14:paraId="050A656E" w14:textId="77777777" w:rsidR="00EB27A7" w:rsidRPr="00F16498" w:rsidRDefault="00EB27A7" w:rsidP="00EB27A7">
      <w:pPr>
        <w:numPr>
          <w:ilvl w:val="0"/>
          <w:numId w:val="11"/>
        </w:numPr>
        <w:autoSpaceDE w:val="0"/>
        <w:autoSpaceDN w:val="0"/>
        <w:adjustRightInd w:val="0"/>
        <w:spacing w:after="0" w:line="240" w:lineRule="auto"/>
        <w:jc w:val="both"/>
        <w:rPr>
          <w:rFonts w:ascii="Arial" w:hAnsi="Arial" w:cs="Arial"/>
          <w:b/>
          <w:color w:val="000000"/>
          <w:sz w:val="24"/>
          <w:szCs w:val="24"/>
        </w:rPr>
      </w:pPr>
      <w:r w:rsidRPr="00EB27A7">
        <w:rPr>
          <w:rFonts w:ascii="Arial" w:hAnsi="Arial" w:cs="Arial"/>
          <w:b/>
          <w:color w:val="000000"/>
          <w:sz w:val="24"/>
          <w:szCs w:val="24"/>
        </w:rPr>
        <w:t>Discharge from hospital</w:t>
      </w:r>
    </w:p>
    <w:p w14:paraId="7AE1D39F" w14:textId="0B1ADD28" w:rsidR="00EB27A7" w:rsidRPr="00E003B3" w:rsidRDefault="00EB27A7" w:rsidP="00EB27A7">
      <w:pPr>
        <w:numPr>
          <w:ilvl w:val="0"/>
          <w:numId w:val="11"/>
        </w:numPr>
        <w:autoSpaceDE w:val="0"/>
        <w:autoSpaceDN w:val="0"/>
        <w:adjustRightInd w:val="0"/>
        <w:spacing w:after="0" w:line="240" w:lineRule="auto"/>
        <w:jc w:val="both"/>
        <w:rPr>
          <w:rFonts w:ascii="Arial" w:hAnsi="Arial" w:cs="Arial"/>
          <w:b/>
          <w:color w:val="000000"/>
          <w:sz w:val="24"/>
          <w:szCs w:val="24"/>
        </w:rPr>
      </w:pPr>
      <w:r w:rsidRPr="00EB27A7">
        <w:rPr>
          <w:rFonts w:ascii="Arial" w:hAnsi="Arial" w:cs="Arial"/>
          <w:b/>
          <w:color w:val="000000"/>
          <w:sz w:val="24"/>
          <w:szCs w:val="24"/>
        </w:rPr>
        <w:t>A period of s17 leave</w:t>
      </w:r>
      <w:r w:rsidRPr="00EB27A7">
        <w:rPr>
          <w:rFonts w:ascii="Arial" w:hAnsi="Arial" w:cs="Arial"/>
          <w:color w:val="000000"/>
          <w:sz w:val="24"/>
          <w:szCs w:val="24"/>
        </w:rPr>
        <w:t xml:space="preserve"> - People subject to section 17 leave under the MHA are covered by the section 117 criteria.  For any longer periods of leave there should be a section 117 care plan to cover the period of leave and providing as necessary for:</w:t>
      </w:r>
    </w:p>
    <w:p w14:paraId="66760BB4" w14:textId="77777777" w:rsidR="00E003B3" w:rsidRPr="00EB27A7" w:rsidRDefault="00E003B3" w:rsidP="00E003B3">
      <w:pPr>
        <w:numPr>
          <w:ilvl w:val="0"/>
          <w:numId w:val="11"/>
        </w:numPr>
        <w:autoSpaceDE w:val="0"/>
        <w:autoSpaceDN w:val="0"/>
        <w:adjustRightInd w:val="0"/>
        <w:spacing w:after="0" w:line="240" w:lineRule="auto"/>
        <w:jc w:val="both"/>
        <w:rPr>
          <w:rFonts w:ascii="Arial" w:hAnsi="Arial" w:cs="Arial"/>
          <w:color w:val="000000"/>
          <w:sz w:val="24"/>
          <w:szCs w:val="24"/>
        </w:rPr>
      </w:pPr>
      <w:r w:rsidRPr="00EB27A7">
        <w:rPr>
          <w:rFonts w:ascii="Arial" w:hAnsi="Arial" w:cs="Arial"/>
          <w:color w:val="000000"/>
          <w:sz w:val="24"/>
          <w:szCs w:val="24"/>
        </w:rPr>
        <w:t>Supply of medication</w:t>
      </w:r>
    </w:p>
    <w:p w14:paraId="25BF6ACB" w14:textId="77777777" w:rsidR="00E003B3" w:rsidRPr="00EB27A7" w:rsidRDefault="00E003B3" w:rsidP="00E003B3">
      <w:pPr>
        <w:numPr>
          <w:ilvl w:val="0"/>
          <w:numId w:val="11"/>
        </w:numPr>
        <w:autoSpaceDE w:val="0"/>
        <w:autoSpaceDN w:val="0"/>
        <w:adjustRightInd w:val="0"/>
        <w:spacing w:after="0" w:line="240" w:lineRule="auto"/>
        <w:jc w:val="both"/>
        <w:rPr>
          <w:rFonts w:ascii="Arial" w:hAnsi="Arial" w:cs="Arial"/>
          <w:color w:val="000000"/>
          <w:sz w:val="24"/>
          <w:szCs w:val="24"/>
        </w:rPr>
      </w:pPr>
      <w:r w:rsidRPr="00EB27A7">
        <w:rPr>
          <w:rFonts w:ascii="Arial" w:hAnsi="Arial" w:cs="Arial"/>
          <w:color w:val="000000"/>
          <w:sz w:val="24"/>
          <w:szCs w:val="24"/>
        </w:rPr>
        <w:t>Emergency contact</w:t>
      </w:r>
    </w:p>
    <w:p w14:paraId="11DCAE23" w14:textId="77777777" w:rsidR="00E003B3" w:rsidRPr="00EB27A7" w:rsidRDefault="00E003B3" w:rsidP="00E003B3">
      <w:pPr>
        <w:numPr>
          <w:ilvl w:val="0"/>
          <w:numId w:val="11"/>
        </w:numPr>
        <w:autoSpaceDE w:val="0"/>
        <w:autoSpaceDN w:val="0"/>
        <w:adjustRightInd w:val="0"/>
        <w:spacing w:after="0" w:line="240" w:lineRule="auto"/>
        <w:jc w:val="both"/>
        <w:rPr>
          <w:rFonts w:ascii="Arial" w:hAnsi="Arial" w:cs="Arial"/>
          <w:color w:val="000000"/>
          <w:sz w:val="24"/>
          <w:szCs w:val="24"/>
        </w:rPr>
      </w:pPr>
      <w:r w:rsidRPr="00EB27A7">
        <w:rPr>
          <w:rFonts w:ascii="Arial" w:hAnsi="Arial" w:cs="Arial"/>
          <w:color w:val="000000"/>
          <w:sz w:val="24"/>
          <w:szCs w:val="24"/>
        </w:rPr>
        <w:t>Any necessary support</w:t>
      </w:r>
    </w:p>
    <w:p w14:paraId="09BCA19A" w14:textId="77777777" w:rsidR="00E003B3" w:rsidRPr="00EB27A7" w:rsidRDefault="00E003B3" w:rsidP="00E003B3">
      <w:pPr>
        <w:numPr>
          <w:ilvl w:val="0"/>
          <w:numId w:val="11"/>
        </w:numPr>
        <w:autoSpaceDE w:val="0"/>
        <w:autoSpaceDN w:val="0"/>
        <w:adjustRightInd w:val="0"/>
        <w:spacing w:after="0" w:line="240" w:lineRule="auto"/>
        <w:jc w:val="both"/>
        <w:rPr>
          <w:rFonts w:ascii="Arial" w:hAnsi="Arial" w:cs="Arial"/>
          <w:color w:val="000000"/>
          <w:sz w:val="24"/>
          <w:szCs w:val="24"/>
        </w:rPr>
      </w:pPr>
      <w:r w:rsidRPr="00EB27A7">
        <w:rPr>
          <w:rFonts w:ascii="Arial" w:hAnsi="Arial" w:cs="Arial"/>
          <w:color w:val="000000"/>
          <w:sz w:val="24"/>
          <w:szCs w:val="24"/>
        </w:rPr>
        <w:t>Leave address and any care arrangements</w:t>
      </w:r>
    </w:p>
    <w:p w14:paraId="66320426" w14:textId="77777777" w:rsidR="00E003B3" w:rsidRDefault="00E003B3" w:rsidP="00E003B3">
      <w:pPr>
        <w:numPr>
          <w:ilvl w:val="0"/>
          <w:numId w:val="11"/>
        </w:numPr>
        <w:autoSpaceDE w:val="0"/>
        <w:autoSpaceDN w:val="0"/>
        <w:adjustRightInd w:val="0"/>
        <w:spacing w:after="0" w:line="240" w:lineRule="auto"/>
        <w:jc w:val="both"/>
        <w:rPr>
          <w:rFonts w:ascii="Arial" w:hAnsi="Arial" w:cs="Arial"/>
          <w:color w:val="000000"/>
          <w:sz w:val="24"/>
          <w:szCs w:val="24"/>
        </w:rPr>
      </w:pPr>
      <w:r w:rsidRPr="00EB27A7">
        <w:rPr>
          <w:rFonts w:ascii="Arial" w:hAnsi="Arial" w:cs="Arial"/>
          <w:color w:val="000000"/>
          <w:sz w:val="24"/>
          <w:szCs w:val="24"/>
        </w:rPr>
        <w:t>Duration of S17 leave should be agreed at onset as part of the leave care plan</w:t>
      </w:r>
    </w:p>
    <w:p w14:paraId="420F3F84" w14:textId="1094AFAA" w:rsidR="00C16185" w:rsidRDefault="006777DB" w:rsidP="00C16185">
      <w:pPr>
        <w:numPr>
          <w:ilvl w:val="0"/>
          <w:numId w:val="11"/>
        </w:numPr>
        <w:autoSpaceDE w:val="0"/>
        <w:autoSpaceDN w:val="0"/>
        <w:adjustRightInd w:val="0"/>
        <w:spacing w:after="0" w:line="240" w:lineRule="auto"/>
        <w:jc w:val="both"/>
        <w:rPr>
          <w:rFonts w:ascii="Arial" w:hAnsi="Arial" w:cs="Arial"/>
          <w:color w:val="000000"/>
          <w:sz w:val="24"/>
          <w:szCs w:val="24"/>
        </w:rPr>
      </w:pPr>
      <w:r w:rsidRPr="009E5D32">
        <w:rPr>
          <w:rFonts w:ascii="Arial" w:hAnsi="Arial" w:cs="Arial"/>
          <w:b/>
          <w:color w:val="000000"/>
          <w:sz w:val="24"/>
          <w:szCs w:val="24"/>
        </w:rPr>
        <w:t>A Mental Health Review Tribunal for Wales or Hospital Managers’ hearing</w:t>
      </w:r>
      <w:r w:rsidRPr="009E5D32">
        <w:rPr>
          <w:rFonts w:ascii="Arial" w:hAnsi="Arial" w:cs="Arial"/>
          <w:color w:val="000000"/>
          <w:sz w:val="24"/>
          <w:szCs w:val="24"/>
        </w:rPr>
        <w:t xml:space="preserve"> - The hospital managers must ensure that CTMUHB and the LSSAs are aware of the hearing so that they are able to consider after-care arrangements in all cases; however this is particularly important when discharge is a strong possibility and appropriate after-care is a key factor in the decision. </w:t>
      </w:r>
    </w:p>
    <w:p w14:paraId="00C00AE0" w14:textId="77777777" w:rsidR="00C16185" w:rsidRDefault="00C16185" w:rsidP="00C16185">
      <w:pPr>
        <w:autoSpaceDE w:val="0"/>
        <w:autoSpaceDN w:val="0"/>
        <w:adjustRightInd w:val="0"/>
        <w:spacing w:after="0" w:line="240" w:lineRule="auto"/>
        <w:jc w:val="both"/>
        <w:rPr>
          <w:rFonts w:ascii="Arial" w:hAnsi="Arial" w:cs="Arial"/>
          <w:b/>
          <w:color w:val="000000"/>
          <w:sz w:val="24"/>
          <w:szCs w:val="24"/>
        </w:rPr>
      </w:pPr>
    </w:p>
    <w:p w14:paraId="357AE306" w14:textId="77777777" w:rsidR="00C16185" w:rsidRDefault="00C16185" w:rsidP="00C16185">
      <w:pPr>
        <w:autoSpaceDE w:val="0"/>
        <w:autoSpaceDN w:val="0"/>
        <w:adjustRightInd w:val="0"/>
        <w:spacing w:after="0" w:line="240" w:lineRule="auto"/>
        <w:ind w:left="720" w:hanging="720"/>
        <w:jc w:val="both"/>
        <w:rPr>
          <w:rFonts w:ascii="Arial" w:hAnsi="Arial" w:cs="Arial"/>
          <w:bCs/>
          <w:color w:val="000000"/>
          <w:sz w:val="24"/>
          <w:szCs w:val="24"/>
        </w:rPr>
      </w:pPr>
      <w:r w:rsidRPr="00C16185">
        <w:rPr>
          <w:rFonts w:ascii="Arial" w:hAnsi="Arial" w:cs="Arial"/>
          <w:bCs/>
          <w:color w:val="000000"/>
          <w:sz w:val="24"/>
          <w:szCs w:val="24"/>
        </w:rPr>
        <w:t>7.11</w:t>
      </w:r>
      <w:r>
        <w:rPr>
          <w:rFonts w:ascii="Arial" w:hAnsi="Arial" w:cs="Arial"/>
          <w:bCs/>
          <w:color w:val="000000"/>
          <w:sz w:val="24"/>
          <w:szCs w:val="24"/>
        </w:rPr>
        <w:tab/>
      </w:r>
      <w:r w:rsidRPr="009E5D32">
        <w:rPr>
          <w:rFonts w:ascii="Arial" w:hAnsi="Arial" w:cs="Arial"/>
          <w:bCs/>
          <w:color w:val="000000"/>
          <w:sz w:val="24"/>
          <w:szCs w:val="24"/>
        </w:rPr>
        <w:t>The RC will ensure that the patient’s after-care needs have been fully assessed. The S117 after-care plan should normally be formulated at a multi-disciplinary CTP meeting; this meeting will also identify the care co-ordinator (if not already identified). The Code contains detailed guidance about the people who should be involved in this process and the considerations to be taken into account.</w:t>
      </w:r>
    </w:p>
    <w:p w14:paraId="1F61DF4C" w14:textId="77777777" w:rsidR="009E5D32" w:rsidRDefault="009E5D32" w:rsidP="00C16185">
      <w:pPr>
        <w:autoSpaceDE w:val="0"/>
        <w:autoSpaceDN w:val="0"/>
        <w:adjustRightInd w:val="0"/>
        <w:spacing w:after="0" w:line="240" w:lineRule="auto"/>
        <w:jc w:val="both"/>
        <w:rPr>
          <w:rFonts w:ascii="Arial" w:hAnsi="Arial" w:cs="Arial"/>
          <w:bCs/>
          <w:color w:val="000000"/>
          <w:sz w:val="24"/>
          <w:szCs w:val="24"/>
        </w:rPr>
      </w:pPr>
    </w:p>
    <w:p w14:paraId="6A4E07E3" w14:textId="77777777" w:rsidR="00C16185" w:rsidRDefault="00C16185" w:rsidP="00C16185">
      <w:pPr>
        <w:autoSpaceDE w:val="0"/>
        <w:autoSpaceDN w:val="0"/>
        <w:adjustRightInd w:val="0"/>
        <w:spacing w:after="0" w:line="240" w:lineRule="auto"/>
        <w:ind w:left="720" w:hanging="720"/>
        <w:jc w:val="both"/>
        <w:rPr>
          <w:rFonts w:ascii="Arial" w:hAnsi="Arial" w:cs="Arial"/>
          <w:bCs/>
          <w:color w:val="000000"/>
          <w:sz w:val="24"/>
          <w:szCs w:val="24"/>
        </w:rPr>
      </w:pPr>
      <w:r>
        <w:rPr>
          <w:rFonts w:ascii="Arial" w:hAnsi="Arial" w:cs="Arial"/>
          <w:bCs/>
          <w:color w:val="000000"/>
          <w:sz w:val="24"/>
          <w:szCs w:val="24"/>
        </w:rPr>
        <w:t>7.12</w:t>
      </w:r>
      <w:r>
        <w:rPr>
          <w:rFonts w:ascii="Arial" w:hAnsi="Arial" w:cs="Arial"/>
          <w:bCs/>
          <w:color w:val="000000"/>
          <w:sz w:val="24"/>
          <w:szCs w:val="24"/>
        </w:rPr>
        <w:tab/>
      </w:r>
      <w:r w:rsidRPr="009E5D32">
        <w:rPr>
          <w:rFonts w:ascii="Arial" w:hAnsi="Arial" w:cs="Arial"/>
          <w:bCs/>
          <w:color w:val="000000"/>
          <w:sz w:val="24"/>
          <w:szCs w:val="24"/>
        </w:rPr>
        <w:t xml:space="preserve">Failure to implement discharge planning arrangements within 'a reasonable time' is in breach of Article 5 of the European Convention on Human Rights, </w:t>
      </w:r>
      <w:r w:rsidRPr="009E5D32">
        <w:rPr>
          <w:rFonts w:ascii="Arial" w:hAnsi="Arial" w:cs="Arial"/>
          <w:bCs/>
          <w:color w:val="000000"/>
          <w:sz w:val="24"/>
          <w:szCs w:val="24"/>
        </w:rPr>
        <w:lastRenderedPageBreak/>
        <w:t>and therefore in breach of the 1998 Human Rights Act. Health and Social Care staff responsible for discharge planning need to ensure that the reasons for any delay are well documented and evidenced. Discharging remains a joint responsibility between CTMUHB and the LSSA.</w:t>
      </w:r>
    </w:p>
    <w:p w14:paraId="2C23662B" w14:textId="77777777" w:rsidR="004A5E81" w:rsidRPr="009E5D32" w:rsidRDefault="004A5E81" w:rsidP="00C16185">
      <w:pPr>
        <w:autoSpaceDE w:val="0"/>
        <w:autoSpaceDN w:val="0"/>
        <w:adjustRightInd w:val="0"/>
        <w:spacing w:after="0" w:line="240" w:lineRule="auto"/>
        <w:ind w:left="720" w:hanging="720"/>
        <w:jc w:val="both"/>
        <w:rPr>
          <w:rFonts w:ascii="Arial" w:hAnsi="Arial" w:cs="Arial"/>
          <w:bCs/>
          <w:color w:val="000000"/>
          <w:sz w:val="24"/>
          <w:szCs w:val="24"/>
        </w:rPr>
      </w:pPr>
    </w:p>
    <w:p w14:paraId="47783EF9" w14:textId="77777777" w:rsidR="004A5E81" w:rsidRDefault="004A5E81" w:rsidP="004A5E81">
      <w:pPr>
        <w:spacing w:after="0" w:line="240" w:lineRule="auto"/>
        <w:ind w:left="720" w:hanging="720"/>
        <w:contextualSpacing/>
        <w:rPr>
          <w:rFonts w:ascii="Arial" w:hAnsi="Arial" w:cs="Arial"/>
          <w:sz w:val="24"/>
          <w:szCs w:val="20"/>
        </w:rPr>
      </w:pPr>
      <w:r>
        <w:rPr>
          <w:rFonts w:ascii="Arial" w:hAnsi="Arial" w:cs="Arial"/>
          <w:sz w:val="24"/>
          <w:szCs w:val="20"/>
        </w:rPr>
        <w:t>7.13</w:t>
      </w:r>
      <w:r>
        <w:rPr>
          <w:rFonts w:ascii="Arial" w:hAnsi="Arial" w:cs="Arial"/>
          <w:sz w:val="24"/>
          <w:szCs w:val="20"/>
        </w:rPr>
        <w:tab/>
      </w:r>
      <w:r w:rsidRPr="009E5D32">
        <w:rPr>
          <w:rFonts w:ascii="Arial" w:hAnsi="Arial" w:cs="Arial"/>
          <w:sz w:val="24"/>
          <w:szCs w:val="20"/>
        </w:rPr>
        <w:t xml:space="preserve">Patients who are eligible to S117 and receiving community services </w:t>
      </w:r>
      <w:r w:rsidRPr="009E5D32">
        <w:rPr>
          <w:rFonts w:ascii="Arial" w:hAnsi="Arial" w:cs="Arial"/>
          <w:bCs/>
          <w:sz w:val="24"/>
          <w:szCs w:val="20"/>
        </w:rPr>
        <w:t>should</w:t>
      </w:r>
      <w:r w:rsidRPr="009E5D32">
        <w:rPr>
          <w:rFonts w:ascii="Arial" w:hAnsi="Arial" w:cs="Arial"/>
          <w:b/>
          <w:bCs/>
          <w:sz w:val="24"/>
          <w:szCs w:val="20"/>
        </w:rPr>
        <w:t xml:space="preserve"> </w:t>
      </w:r>
      <w:r w:rsidRPr="009E5D32">
        <w:rPr>
          <w:rFonts w:ascii="Arial" w:hAnsi="Arial" w:cs="Arial"/>
          <w:sz w:val="24"/>
          <w:szCs w:val="20"/>
        </w:rPr>
        <w:t>be offered an IMHA to support them at reviews by the Care Coordinator.</w:t>
      </w:r>
    </w:p>
    <w:p w14:paraId="6E87570D" w14:textId="77777777" w:rsidR="004A5E81" w:rsidRDefault="004A5E81" w:rsidP="004A5E81">
      <w:pPr>
        <w:spacing w:after="0" w:line="240" w:lineRule="auto"/>
        <w:ind w:left="720" w:hanging="720"/>
        <w:contextualSpacing/>
        <w:rPr>
          <w:rFonts w:ascii="Arial" w:hAnsi="Arial" w:cs="Arial"/>
          <w:sz w:val="24"/>
          <w:szCs w:val="20"/>
        </w:rPr>
      </w:pPr>
    </w:p>
    <w:p w14:paraId="0F3742C0" w14:textId="77777777" w:rsidR="004A5E81" w:rsidRPr="009E5D32" w:rsidRDefault="004A5E81" w:rsidP="00981138">
      <w:pPr>
        <w:spacing w:after="0" w:line="240" w:lineRule="auto"/>
        <w:ind w:left="720" w:hanging="720"/>
        <w:contextualSpacing/>
        <w:jc w:val="both"/>
        <w:rPr>
          <w:rFonts w:ascii="Arial" w:hAnsi="Arial" w:cs="Arial"/>
          <w:sz w:val="24"/>
          <w:szCs w:val="20"/>
        </w:rPr>
      </w:pPr>
      <w:r>
        <w:rPr>
          <w:rFonts w:ascii="Arial" w:hAnsi="Arial" w:cs="Arial"/>
          <w:sz w:val="24"/>
          <w:szCs w:val="20"/>
        </w:rPr>
        <w:t>7.14</w:t>
      </w:r>
      <w:r>
        <w:rPr>
          <w:rFonts w:ascii="Arial" w:hAnsi="Arial" w:cs="Arial"/>
          <w:sz w:val="24"/>
          <w:szCs w:val="20"/>
        </w:rPr>
        <w:tab/>
      </w:r>
      <w:r w:rsidRPr="009E5D32">
        <w:rPr>
          <w:rFonts w:ascii="Arial" w:hAnsi="Arial" w:cs="Arial"/>
          <w:sz w:val="24"/>
          <w:szCs w:val="20"/>
        </w:rPr>
        <w:t>The aftercare plan should be regularly reviewed. The Care Co-ordinator is responsible for arranging reviews of the care plan until it is jointly agreed that the patient no longer needs after-care services.</w:t>
      </w:r>
    </w:p>
    <w:p w14:paraId="40A195F5" w14:textId="56086FA1" w:rsidR="004A5E81" w:rsidRDefault="004A5E81" w:rsidP="004A5E81">
      <w:pPr>
        <w:spacing w:after="0" w:line="240" w:lineRule="auto"/>
        <w:ind w:left="720" w:hanging="720"/>
        <w:contextualSpacing/>
        <w:rPr>
          <w:rFonts w:ascii="Arial" w:hAnsi="Arial" w:cs="Arial"/>
          <w:sz w:val="24"/>
          <w:szCs w:val="20"/>
        </w:rPr>
      </w:pPr>
    </w:p>
    <w:p w14:paraId="235A8DAA" w14:textId="77777777" w:rsidR="003D5571" w:rsidRPr="009E5D32" w:rsidRDefault="004A5E81" w:rsidP="00981138">
      <w:pPr>
        <w:spacing w:after="0" w:line="240" w:lineRule="auto"/>
        <w:ind w:left="720" w:hanging="720"/>
        <w:contextualSpacing/>
        <w:jc w:val="both"/>
        <w:rPr>
          <w:rFonts w:ascii="Arial" w:hAnsi="Arial" w:cs="Arial"/>
          <w:sz w:val="24"/>
          <w:szCs w:val="20"/>
        </w:rPr>
      </w:pPr>
      <w:r>
        <w:rPr>
          <w:rFonts w:ascii="Arial" w:hAnsi="Arial" w:cs="Arial"/>
          <w:sz w:val="24"/>
          <w:szCs w:val="20"/>
        </w:rPr>
        <w:t>7.15</w:t>
      </w:r>
      <w:r>
        <w:rPr>
          <w:rFonts w:ascii="Arial" w:hAnsi="Arial" w:cs="Arial"/>
          <w:sz w:val="24"/>
          <w:szCs w:val="20"/>
        </w:rPr>
        <w:tab/>
      </w:r>
      <w:r w:rsidR="003D5571" w:rsidRPr="009E5D32">
        <w:rPr>
          <w:rFonts w:ascii="Arial" w:hAnsi="Arial" w:cs="Arial"/>
          <w:sz w:val="24"/>
          <w:szCs w:val="20"/>
        </w:rPr>
        <w:t xml:space="preserve">The decision to end S117 can only happen with the agreement of both the responsible LSSA and the UHB (see section – Ending S117 Aftercare). Any such decision </w:t>
      </w:r>
      <w:r w:rsidR="003D5571" w:rsidRPr="009E5D32">
        <w:rPr>
          <w:rFonts w:ascii="Arial" w:hAnsi="Arial" w:cs="Arial"/>
          <w:b/>
          <w:bCs/>
          <w:sz w:val="24"/>
          <w:szCs w:val="20"/>
        </w:rPr>
        <w:t xml:space="preserve">must </w:t>
      </w:r>
      <w:r w:rsidR="003D5571" w:rsidRPr="009E5D32">
        <w:rPr>
          <w:rFonts w:ascii="Arial" w:hAnsi="Arial" w:cs="Arial"/>
          <w:sz w:val="24"/>
          <w:szCs w:val="20"/>
        </w:rPr>
        <w:t>be recorded in writing in line with this policy using the proforma contained in appendix 2.  A copy of the proforma should be emailed to the MHA team mailbox and also kept on the patient’s file.  The S117 end date must also be recorded on the central 117 register.</w:t>
      </w:r>
    </w:p>
    <w:p w14:paraId="09C43BCB" w14:textId="63F98A46" w:rsidR="004A5E81" w:rsidRPr="009E5D32" w:rsidRDefault="004A5E81" w:rsidP="004A5E81">
      <w:pPr>
        <w:spacing w:after="0" w:line="240" w:lineRule="auto"/>
        <w:ind w:left="720" w:hanging="720"/>
        <w:contextualSpacing/>
        <w:rPr>
          <w:rFonts w:ascii="Arial" w:hAnsi="Arial" w:cs="Arial"/>
          <w:sz w:val="24"/>
          <w:szCs w:val="20"/>
        </w:rPr>
      </w:pPr>
    </w:p>
    <w:p w14:paraId="219DF892" w14:textId="77777777" w:rsidR="003D5571" w:rsidRPr="009E5D32" w:rsidRDefault="003D5571" w:rsidP="003D5571">
      <w:pPr>
        <w:spacing w:after="0" w:line="240" w:lineRule="auto"/>
        <w:ind w:left="720" w:hanging="720"/>
        <w:contextualSpacing/>
        <w:rPr>
          <w:rFonts w:ascii="Arial" w:hAnsi="Arial" w:cs="Arial"/>
          <w:sz w:val="24"/>
          <w:szCs w:val="20"/>
        </w:rPr>
      </w:pPr>
      <w:r>
        <w:rPr>
          <w:rFonts w:ascii="Arial" w:hAnsi="Arial" w:cs="Arial"/>
          <w:sz w:val="24"/>
          <w:szCs w:val="20"/>
        </w:rPr>
        <w:t>7.16</w:t>
      </w:r>
      <w:r>
        <w:rPr>
          <w:rFonts w:ascii="Arial" w:hAnsi="Arial" w:cs="Arial"/>
          <w:sz w:val="24"/>
          <w:szCs w:val="20"/>
        </w:rPr>
        <w:tab/>
      </w:r>
      <w:r w:rsidRPr="009E5D32">
        <w:rPr>
          <w:rFonts w:ascii="Arial" w:hAnsi="Arial" w:cs="Arial"/>
          <w:sz w:val="24"/>
          <w:szCs w:val="20"/>
        </w:rPr>
        <w:t>Aftercare services should not be automatically discharged from S117 solely on the basis of any of the following:</w:t>
      </w:r>
    </w:p>
    <w:p w14:paraId="4455C803" w14:textId="77777777" w:rsidR="003D5571" w:rsidRPr="003D5571" w:rsidRDefault="003D5571" w:rsidP="003D5571">
      <w:pPr>
        <w:spacing w:after="0" w:line="240" w:lineRule="auto"/>
        <w:contextualSpacing/>
        <w:rPr>
          <w:rFonts w:ascii="Arial" w:hAnsi="Arial" w:cs="Arial"/>
          <w:sz w:val="24"/>
          <w:szCs w:val="20"/>
        </w:rPr>
      </w:pPr>
    </w:p>
    <w:p w14:paraId="29E7062A" w14:textId="77777777" w:rsidR="003D5571" w:rsidRPr="003D5571" w:rsidRDefault="003D5571" w:rsidP="003D5571">
      <w:pPr>
        <w:numPr>
          <w:ilvl w:val="0"/>
          <w:numId w:val="9"/>
        </w:numPr>
        <w:spacing w:after="0" w:line="240" w:lineRule="auto"/>
        <w:contextualSpacing/>
        <w:rPr>
          <w:rFonts w:ascii="Arial" w:hAnsi="Arial" w:cs="Arial"/>
          <w:b/>
          <w:sz w:val="24"/>
          <w:szCs w:val="20"/>
        </w:rPr>
      </w:pPr>
      <w:r w:rsidRPr="003D5571">
        <w:rPr>
          <w:rFonts w:ascii="Arial" w:hAnsi="Arial" w:cs="Arial"/>
          <w:b/>
          <w:sz w:val="24"/>
          <w:szCs w:val="20"/>
        </w:rPr>
        <w:t>The patient has been discharged from the care of specialist mental health services</w:t>
      </w:r>
    </w:p>
    <w:p w14:paraId="1EE44264" w14:textId="77777777" w:rsidR="003D5571" w:rsidRPr="003D5571" w:rsidRDefault="003D5571" w:rsidP="003D5571">
      <w:pPr>
        <w:numPr>
          <w:ilvl w:val="0"/>
          <w:numId w:val="9"/>
        </w:numPr>
        <w:spacing w:after="0" w:line="240" w:lineRule="auto"/>
        <w:contextualSpacing/>
        <w:rPr>
          <w:rFonts w:ascii="Arial" w:hAnsi="Arial" w:cs="Arial"/>
          <w:b/>
          <w:sz w:val="24"/>
          <w:szCs w:val="20"/>
        </w:rPr>
      </w:pPr>
      <w:r w:rsidRPr="003D5571">
        <w:rPr>
          <w:rFonts w:ascii="Arial" w:hAnsi="Arial" w:cs="Arial"/>
          <w:b/>
          <w:sz w:val="24"/>
          <w:szCs w:val="20"/>
        </w:rPr>
        <w:t xml:space="preserve">An arbitrary period has passed since the care was first provided </w:t>
      </w:r>
    </w:p>
    <w:p w14:paraId="35D3B498" w14:textId="77777777" w:rsidR="003D5571" w:rsidRPr="003D5571" w:rsidRDefault="003D5571" w:rsidP="003D5571">
      <w:pPr>
        <w:numPr>
          <w:ilvl w:val="0"/>
          <w:numId w:val="9"/>
        </w:numPr>
        <w:spacing w:after="0" w:line="240" w:lineRule="auto"/>
        <w:contextualSpacing/>
        <w:rPr>
          <w:rFonts w:ascii="Arial" w:hAnsi="Arial" w:cs="Arial"/>
          <w:b/>
          <w:sz w:val="24"/>
          <w:szCs w:val="20"/>
        </w:rPr>
      </w:pPr>
      <w:r w:rsidRPr="003D5571">
        <w:rPr>
          <w:rFonts w:ascii="Arial" w:hAnsi="Arial" w:cs="Arial"/>
          <w:b/>
          <w:sz w:val="24"/>
          <w:szCs w:val="20"/>
        </w:rPr>
        <w:t>The patient is deprived of their liberty under the Mental Capacity Act (MCA)</w:t>
      </w:r>
    </w:p>
    <w:p w14:paraId="15C402E3" w14:textId="77777777" w:rsidR="003D5571" w:rsidRPr="003D5571" w:rsidRDefault="003D5571" w:rsidP="003D5571">
      <w:pPr>
        <w:numPr>
          <w:ilvl w:val="0"/>
          <w:numId w:val="9"/>
        </w:numPr>
        <w:spacing w:after="0" w:line="240" w:lineRule="auto"/>
        <w:contextualSpacing/>
        <w:rPr>
          <w:rFonts w:ascii="Arial" w:hAnsi="Arial" w:cs="Arial"/>
          <w:b/>
          <w:sz w:val="24"/>
          <w:szCs w:val="20"/>
        </w:rPr>
      </w:pPr>
      <w:r w:rsidRPr="003D5571">
        <w:rPr>
          <w:rFonts w:ascii="Arial" w:hAnsi="Arial" w:cs="Arial"/>
          <w:b/>
          <w:sz w:val="24"/>
          <w:szCs w:val="20"/>
        </w:rPr>
        <w:t xml:space="preserve">The patient is no longer on a CTO or section 17 </w:t>
      </w:r>
    </w:p>
    <w:p w14:paraId="4C50F431" w14:textId="1BAF85E0" w:rsidR="009E5D32" w:rsidRDefault="009E5D32" w:rsidP="00C16185">
      <w:pPr>
        <w:spacing w:after="0" w:line="240" w:lineRule="auto"/>
        <w:contextualSpacing/>
        <w:rPr>
          <w:rFonts w:ascii="Arial" w:hAnsi="Arial" w:cs="Arial"/>
          <w:sz w:val="24"/>
          <w:szCs w:val="20"/>
        </w:rPr>
      </w:pPr>
    </w:p>
    <w:p w14:paraId="54FC0C8D" w14:textId="77777777" w:rsidR="003D5571" w:rsidRPr="009E5D32" w:rsidRDefault="003D5571" w:rsidP="003D5571">
      <w:pPr>
        <w:spacing w:after="0" w:line="240" w:lineRule="auto"/>
        <w:ind w:left="720" w:hanging="720"/>
        <w:contextualSpacing/>
        <w:rPr>
          <w:rFonts w:ascii="Arial" w:hAnsi="Arial" w:cs="Arial"/>
          <w:sz w:val="24"/>
          <w:szCs w:val="20"/>
        </w:rPr>
      </w:pPr>
      <w:r>
        <w:rPr>
          <w:rFonts w:ascii="Arial" w:hAnsi="Arial" w:cs="Arial"/>
          <w:sz w:val="24"/>
          <w:szCs w:val="20"/>
        </w:rPr>
        <w:t>7.17</w:t>
      </w:r>
      <w:r>
        <w:rPr>
          <w:rFonts w:ascii="Arial" w:hAnsi="Arial" w:cs="Arial"/>
          <w:sz w:val="24"/>
          <w:szCs w:val="20"/>
        </w:rPr>
        <w:tab/>
      </w:r>
      <w:r w:rsidRPr="009E5D32">
        <w:rPr>
          <w:rFonts w:ascii="Arial" w:hAnsi="Arial" w:cs="Arial"/>
          <w:sz w:val="24"/>
          <w:szCs w:val="20"/>
        </w:rPr>
        <w:t xml:space="preserve">Aftercare </w:t>
      </w:r>
      <w:r w:rsidRPr="009E5D32">
        <w:rPr>
          <w:rFonts w:ascii="Arial" w:hAnsi="Arial" w:cs="Arial"/>
          <w:b/>
          <w:bCs/>
          <w:sz w:val="24"/>
          <w:szCs w:val="20"/>
        </w:rPr>
        <w:t xml:space="preserve">must </w:t>
      </w:r>
      <w:r w:rsidRPr="009E5D32">
        <w:rPr>
          <w:rFonts w:ascii="Arial" w:hAnsi="Arial" w:cs="Arial"/>
          <w:sz w:val="24"/>
          <w:szCs w:val="20"/>
        </w:rPr>
        <w:t>be provided and extends to when a patient’s RC authorises section 17 leave of absence, the patient is discharged on to a CTO and upon discharge from hospital.</w:t>
      </w:r>
    </w:p>
    <w:p w14:paraId="0DFD7433" w14:textId="6CD9C663" w:rsidR="003D5571" w:rsidRDefault="003D5571" w:rsidP="00C16185">
      <w:pPr>
        <w:spacing w:after="0" w:line="240" w:lineRule="auto"/>
        <w:contextualSpacing/>
        <w:rPr>
          <w:rFonts w:ascii="Arial" w:hAnsi="Arial" w:cs="Arial"/>
          <w:sz w:val="24"/>
          <w:szCs w:val="20"/>
        </w:rPr>
      </w:pPr>
    </w:p>
    <w:p w14:paraId="585BA55D" w14:textId="1AF1E443" w:rsidR="00024255" w:rsidRPr="009E5D32" w:rsidRDefault="00024255" w:rsidP="00024255">
      <w:pPr>
        <w:spacing w:after="0" w:line="240" w:lineRule="auto"/>
        <w:ind w:left="720" w:hanging="720"/>
        <w:contextualSpacing/>
        <w:rPr>
          <w:rFonts w:ascii="Arial" w:hAnsi="Arial" w:cs="Arial"/>
          <w:sz w:val="24"/>
          <w:szCs w:val="20"/>
        </w:rPr>
      </w:pPr>
      <w:r>
        <w:rPr>
          <w:rFonts w:ascii="Arial" w:hAnsi="Arial" w:cs="Arial"/>
          <w:sz w:val="24"/>
          <w:szCs w:val="20"/>
        </w:rPr>
        <w:t>7.18</w:t>
      </w:r>
      <w:r>
        <w:rPr>
          <w:rFonts w:ascii="Arial" w:hAnsi="Arial" w:cs="Arial"/>
          <w:sz w:val="24"/>
          <w:szCs w:val="20"/>
        </w:rPr>
        <w:tab/>
      </w:r>
      <w:r w:rsidRPr="009E5D32">
        <w:rPr>
          <w:rFonts w:ascii="Arial" w:hAnsi="Arial" w:cs="Arial"/>
          <w:sz w:val="24"/>
          <w:szCs w:val="20"/>
        </w:rPr>
        <w:t>Services required to meet a patients mental health needs are provided by the LSSA and the UHB who are jointly responsible to commission aftercare under S117.</w:t>
      </w:r>
    </w:p>
    <w:p w14:paraId="799CB10F" w14:textId="4CCE8D3F" w:rsidR="00024255" w:rsidRDefault="00024255" w:rsidP="00C16185">
      <w:pPr>
        <w:spacing w:after="0" w:line="240" w:lineRule="auto"/>
        <w:contextualSpacing/>
        <w:rPr>
          <w:rFonts w:ascii="Arial" w:hAnsi="Arial" w:cs="Arial"/>
          <w:sz w:val="24"/>
          <w:szCs w:val="20"/>
        </w:rPr>
      </w:pPr>
    </w:p>
    <w:p w14:paraId="311E9CE2" w14:textId="555035D3" w:rsidR="00024255" w:rsidRPr="009E5D32" w:rsidRDefault="00024255" w:rsidP="00024255">
      <w:pPr>
        <w:spacing w:after="0" w:line="240" w:lineRule="auto"/>
        <w:ind w:left="720" w:hanging="720"/>
        <w:contextualSpacing/>
        <w:rPr>
          <w:rFonts w:ascii="Arial" w:hAnsi="Arial" w:cs="Arial"/>
          <w:sz w:val="24"/>
          <w:szCs w:val="20"/>
        </w:rPr>
      </w:pPr>
      <w:r>
        <w:rPr>
          <w:rFonts w:ascii="Arial" w:hAnsi="Arial" w:cs="Arial"/>
          <w:sz w:val="24"/>
          <w:szCs w:val="20"/>
        </w:rPr>
        <w:t>7.19</w:t>
      </w:r>
      <w:r>
        <w:rPr>
          <w:rFonts w:ascii="Arial" w:hAnsi="Arial" w:cs="Arial"/>
          <w:sz w:val="24"/>
          <w:szCs w:val="20"/>
        </w:rPr>
        <w:tab/>
      </w:r>
      <w:r w:rsidRPr="009E5D32">
        <w:rPr>
          <w:rFonts w:ascii="Arial" w:hAnsi="Arial" w:cs="Arial"/>
          <w:sz w:val="24"/>
          <w:szCs w:val="20"/>
        </w:rPr>
        <w:t xml:space="preserve">The duty to provide S117 aftercare is not broken by the patient’s subsequent </w:t>
      </w:r>
      <w:r w:rsidR="00392111">
        <w:rPr>
          <w:rFonts w:ascii="Arial" w:hAnsi="Arial" w:cs="Arial"/>
          <w:sz w:val="24"/>
          <w:szCs w:val="20"/>
        </w:rPr>
        <w:t xml:space="preserve"> </w:t>
      </w:r>
      <w:r w:rsidR="008540B4">
        <w:rPr>
          <w:rFonts w:ascii="Arial" w:hAnsi="Arial" w:cs="Arial"/>
          <w:sz w:val="24"/>
          <w:szCs w:val="20"/>
        </w:rPr>
        <w:t xml:space="preserve">  </w:t>
      </w:r>
      <w:r w:rsidRPr="009E5D32">
        <w:rPr>
          <w:rFonts w:ascii="Arial" w:hAnsi="Arial" w:cs="Arial"/>
          <w:sz w:val="24"/>
          <w:szCs w:val="20"/>
        </w:rPr>
        <w:t>re-admission to hospital, either informally or under Section 2 of the Act.</w:t>
      </w:r>
    </w:p>
    <w:p w14:paraId="2B0D787D" w14:textId="44E195B8" w:rsidR="00024255" w:rsidRDefault="00024255" w:rsidP="00C16185">
      <w:pPr>
        <w:spacing w:after="0" w:line="240" w:lineRule="auto"/>
        <w:contextualSpacing/>
        <w:rPr>
          <w:rFonts w:ascii="Arial" w:hAnsi="Arial" w:cs="Arial"/>
          <w:sz w:val="24"/>
          <w:szCs w:val="20"/>
        </w:rPr>
      </w:pPr>
    </w:p>
    <w:p w14:paraId="0E4D5A19" w14:textId="1B660604" w:rsidR="006E07C8" w:rsidRDefault="00B13A0A" w:rsidP="006E07C8">
      <w:pPr>
        <w:spacing w:after="0" w:line="240" w:lineRule="auto"/>
        <w:ind w:left="720" w:hanging="720"/>
        <w:contextualSpacing/>
        <w:jc w:val="both"/>
        <w:rPr>
          <w:rFonts w:ascii="Arial" w:hAnsi="Arial" w:cs="Arial"/>
          <w:sz w:val="24"/>
          <w:szCs w:val="20"/>
        </w:rPr>
      </w:pPr>
      <w:r>
        <w:rPr>
          <w:rFonts w:ascii="Arial" w:hAnsi="Arial" w:cs="Arial"/>
          <w:sz w:val="24"/>
          <w:szCs w:val="20"/>
        </w:rPr>
        <w:t>7.20</w:t>
      </w:r>
      <w:r>
        <w:rPr>
          <w:rFonts w:ascii="Arial" w:hAnsi="Arial" w:cs="Arial"/>
          <w:sz w:val="24"/>
          <w:szCs w:val="20"/>
        </w:rPr>
        <w:tab/>
      </w:r>
      <w:r w:rsidRPr="009E5D32">
        <w:rPr>
          <w:rFonts w:ascii="Arial" w:hAnsi="Arial" w:cs="Arial"/>
          <w:sz w:val="24"/>
          <w:szCs w:val="20"/>
        </w:rPr>
        <w:t xml:space="preserve">Responsibility for providing S117 aftercare services may be formally transferred if the authorities agree. Formal transfer should be recorded through exchange of correspondence stating that agreement has been reached between the respective authorities to formally transfer responsibility, the date and time the transfer is </w:t>
      </w:r>
      <w:r w:rsidR="00F42BA8" w:rsidRPr="009E5D32">
        <w:rPr>
          <w:rFonts w:ascii="Arial" w:hAnsi="Arial" w:cs="Arial"/>
          <w:sz w:val="24"/>
          <w:szCs w:val="20"/>
        </w:rPr>
        <w:t>affected</w:t>
      </w:r>
      <w:r w:rsidRPr="009E5D32">
        <w:rPr>
          <w:rFonts w:ascii="Arial" w:hAnsi="Arial" w:cs="Arial"/>
          <w:sz w:val="24"/>
          <w:szCs w:val="20"/>
        </w:rPr>
        <w:t xml:space="preserve"> and a statement that the patient would be informed by the </w:t>
      </w:r>
      <w:r w:rsidRPr="009E5D32">
        <w:rPr>
          <w:rFonts w:ascii="Arial" w:hAnsi="Arial" w:cs="Arial"/>
          <w:sz w:val="24"/>
          <w:szCs w:val="20"/>
        </w:rPr>
        <w:lastRenderedPageBreak/>
        <w:t>accepting team. The 117 register should be updated by the relevant CMHT if transfer takes place.</w:t>
      </w:r>
    </w:p>
    <w:p w14:paraId="24B33B05" w14:textId="62315B7C" w:rsidR="006E07C8" w:rsidRPr="00413418" w:rsidRDefault="006E07C8" w:rsidP="006E07C8">
      <w:pPr>
        <w:pStyle w:val="Heading1"/>
        <w:numPr>
          <w:ilvl w:val="0"/>
          <w:numId w:val="4"/>
        </w:numPr>
        <w:rPr>
          <w:rFonts w:ascii="Arial" w:hAnsi="Arial" w:cs="Arial"/>
          <w:b/>
          <w:bCs/>
          <w:sz w:val="28"/>
          <w:szCs w:val="28"/>
        </w:rPr>
      </w:pPr>
      <w:bookmarkStart w:id="8" w:name="_Toc134786629"/>
      <w:r w:rsidRPr="00413418">
        <w:rPr>
          <w:rFonts w:ascii="Arial" w:hAnsi="Arial" w:cs="Arial"/>
          <w:b/>
          <w:bCs/>
          <w:sz w:val="28"/>
          <w:szCs w:val="28"/>
        </w:rPr>
        <w:t>Children and Young Persons entitled to Section 117</w:t>
      </w:r>
      <w:bookmarkEnd w:id="8"/>
    </w:p>
    <w:p w14:paraId="1D3989DD" w14:textId="0B71E608" w:rsidR="00B13A0A" w:rsidRDefault="00B13A0A" w:rsidP="00C16185">
      <w:pPr>
        <w:spacing w:after="0" w:line="240" w:lineRule="auto"/>
        <w:contextualSpacing/>
        <w:rPr>
          <w:rFonts w:ascii="Arial" w:hAnsi="Arial" w:cs="Arial"/>
          <w:sz w:val="24"/>
          <w:szCs w:val="20"/>
        </w:rPr>
      </w:pPr>
    </w:p>
    <w:p w14:paraId="781EF83B" w14:textId="5F3DD678" w:rsidR="00D65B30" w:rsidRPr="00D65B30" w:rsidRDefault="00D65B30" w:rsidP="00011CC3">
      <w:pPr>
        <w:pStyle w:val="ListParagraph"/>
        <w:numPr>
          <w:ilvl w:val="1"/>
          <w:numId w:val="4"/>
        </w:numPr>
        <w:spacing w:after="0" w:line="240" w:lineRule="auto"/>
        <w:ind w:left="851" w:hanging="491"/>
        <w:jc w:val="both"/>
        <w:rPr>
          <w:rFonts w:ascii="Arial" w:hAnsi="Arial" w:cs="Arial"/>
          <w:sz w:val="24"/>
          <w:szCs w:val="20"/>
        </w:rPr>
      </w:pPr>
      <w:r w:rsidRPr="00D65B30">
        <w:rPr>
          <w:rFonts w:ascii="Arial" w:hAnsi="Arial" w:cs="Arial"/>
          <w:sz w:val="24"/>
          <w:szCs w:val="20"/>
        </w:rPr>
        <w:t xml:space="preserve">Where a child or young person is detained in hospital and that is likely to be for at least 12 consecutive weeks, the authority or health body who arranged for the detention is required under section 85 of the Children Act 1989 to notify the LSSA. This duty ensures that the LSSA is aware of any child or young person in such detention and can ensure they are being safeguarded and their needs are being met. </w:t>
      </w:r>
    </w:p>
    <w:p w14:paraId="3D86BBAC" w14:textId="65DB3D0B" w:rsidR="0038397A" w:rsidRPr="0038397A" w:rsidRDefault="0038397A" w:rsidP="00011CC3">
      <w:pPr>
        <w:jc w:val="both"/>
        <w:rPr>
          <w:rFonts w:ascii="Arial" w:hAnsi="Arial" w:cs="Arial"/>
          <w:sz w:val="24"/>
          <w:szCs w:val="20"/>
        </w:rPr>
      </w:pPr>
    </w:p>
    <w:p w14:paraId="74DA8CD9" w14:textId="0556D5D5" w:rsidR="0038397A" w:rsidRDefault="0038397A" w:rsidP="00011CC3">
      <w:pPr>
        <w:pStyle w:val="ListParagraph"/>
        <w:numPr>
          <w:ilvl w:val="1"/>
          <w:numId w:val="4"/>
        </w:numPr>
        <w:ind w:left="851" w:hanging="491"/>
        <w:jc w:val="both"/>
        <w:rPr>
          <w:rFonts w:ascii="Arial" w:hAnsi="Arial" w:cs="Arial"/>
          <w:sz w:val="24"/>
          <w:szCs w:val="20"/>
        </w:rPr>
      </w:pPr>
      <w:r w:rsidRPr="0038397A">
        <w:rPr>
          <w:rFonts w:ascii="Arial" w:hAnsi="Arial" w:cs="Arial"/>
          <w:sz w:val="24"/>
          <w:szCs w:val="20"/>
        </w:rPr>
        <w:t xml:space="preserve">Discharge and aftercare planning must start as soon as possible after admission and must be child and young person focused and informed by an assessment of need. In relation to children and young people, the Mental Health Act Code of Practice 2016 recognises additional factors will need to be considered. This may include ensuring that the aftercare integrates with any existing provision made for children in care, care leavers and those with special educational needs or disabilities, as well as safeguarding vulnerable children. </w:t>
      </w:r>
    </w:p>
    <w:p w14:paraId="503152A5" w14:textId="77777777" w:rsidR="008E60D5" w:rsidRPr="008E60D5" w:rsidRDefault="008E60D5" w:rsidP="00011CC3">
      <w:pPr>
        <w:pStyle w:val="ListParagraph"/>
        <w:jc w:val="both"/>
        <w:rPr>
          <w:rFonts w:ascii="Arial" w:hAnsi="Arial" w:cs="Arial"/>
          <w:sz w:val="24"/>
          <w:szCs w:val="20"/>
        </w:rPr>
      </w:pPr>
    </w:p>
    <w:p w14:paraId="4F648455" w14:textId="61C12C9F" w:rsidR="008E60D5" w:rsidRDefault="008E60D5" w:rsidP="00011CC3">
      <w:pPr>
        <w:pStyle w:val="ListParagraph"/>
        <w:numPr>
          <w:ilvl w:val="1"/>
          <w:numId w:val="4"/>
        </w:numPr>
        <w:spacing w:after="0" w:line="240" w:lineRule="auto"/>
        <w:ind w:left="851" w:hanging="491"/>
        <w:jc w:val="both"/>
        <w:rPr>
          <w:rFonts w:ascii="Arial" w:hAnsi="Arial" w:cs="Arial"/>
          <w:sz w:val="24"/>
          <w:szCs w:val="20"/>
        </w:rPr>
      </w:pPr>
      <w:r w:rsidRPr="008E60D5">
        <w:rPr>
          <w:rFonts w:ascii="Arial" w:hAnsi="Arial" w:cs="Arial"/>
          <w:sz w:val="24"/>
          <w:szCs w:val="20"/>
        </w:rPr>
        <w:t xml:space="preserve">Whether or not section 117 of the MHA applies, a child or young person who has been admitted to hospital for assessment and/or treatment of their mental disorder may be ‘a child in need’ for the purpose of section 17 of the Children Act 1989, and should be assessed accordingly. </w:t>
      </w:r>
    </w:p>
    <w:p w14:paraId="206DEF84" w14:textId="77777777" w:rsidR="008E60D5" w:rsidRPr="008E60D5" w:rsidRDefault="008E60D5" w:rsidP="00011CC3">
      <w:pPr>
        <w:pStyle w:val="ListParagraph"/>
        <w:jc w:val="both"/>
        <w:rPr>
          <w:rFonts w:ascii="Arial" w:hAnsi="Arial" w:cs="Arial"/>
          <w:sz w:val="24"/>
          <w:szCs w:val="20"/>
        </w:rPr>
      </w:pPr>
    </w:p>
    <w:p w14:paraId="4AD9CBD8" w14:textId="77777777" w:rsidR="008E60D5" w:rsidRPr="008E60D5" w:rsidRDefault="008E60D5" w:rsidP="00011CC3">
      <w:pPr>
        <w:pStyle w:val="ListParagraph"/>
        <w:spacing w:after="0" w:line="240" w:lineRule="auto"/>
        <w:ind w:left="851"/>
        <w:jc w:val="both"/>
        <w:rPr>
          <w:rFonts w:ascii="Arial" w:hAnsi="Arial" w:cs="Arial"/>
          <w:sz w:val="24"/>
          <w:szCs w:val="20"/>
        </w:rPr>
      </w:pPr>
    </w:p>
    <w:p w14:paraId="3793FAB4" w14:textId="41AEE439" w:rsidR="008E60D5" w:rsidRDefault="008E60D5" w:rsidP="00011CC3">
      <w:pPr>
        <w:pStyle w:val="ListParagraph"/>
        <w:numPr>
          <w:ilvl w:val="1"/>
          <w:numId w:val="4"/>
        </w:numPr>
        <w:spacing w:after="0" w:line="240" w:lineRule="auto"/>
        <w:ind w:left="851" w:hanging="491"/>
        <w:jc w:val="both"/>
        <w:rPr>
          <w:rFonts w:ascii="Arial" w:hAnsi="Arial" w:cs="Arial"/>
          <w:sz w:val="24"/>
          <w:szCs w:val="20"/>
        </w:rPr>
      </w:pPr>
      <w:r w:rsidRPr="008E60D5">
        <w:rPr>
          <w:rFonts w:ascii="Arial" w:hAnsi="Arial" w:cs="Arial"/>
          <w:sz w:val="24"/>
          <w:szCs w:val="20"/>
        </w:rPr>
        <w:t xml:space="preserve">When a child or young person with a statement of Additional Learning Needs (ALN), or an Education, Health and Care Plan (EHCP) is admitted to hospital under the Act, the LSSA who maintains the plan should be informed, so that they can ensure that educational support continues to be provided. If necessary, the Education, Health and Care Plan may be reviewed and amended to ensure needs and outcomes remain appropriate. </w:t>
      </w:r>
    </w:p>
    <w:p w14:paraId="6D7633DC" w14:textId="77777777" w:rsidR="008E60D5" w:rsidRPr="008E60D5" w:rsidRDefault="008E60D5" w:rsidP="008E60D5">
      <w:pPr>
        <w:pStyle w:val="ListParagraph"/>
        <w:spacing w:after="0" w:line="240" w:lineRule="auto"/>
        <w:ind w:left="851"/>
        <w:rPr>
          <w:rFonts w:ascii="Arial" w:hAnsi="Arial" w:cs="Arial"/>
          <w:sz w:val="24"/>
          <w:szCs w:val="20"/>
        </w:rPr>
      </w:pPr>
    </w:p>
    <w:p w14:paraId="6F55F8A9" w14:textId="0AD093B6" w:rsidR="008E60D5" w:rsidRPr="004766DE" w:rsidRDefault="004766DE" w:rsidP="003807E5">
      <w:pPr>
        <w:pStyle w:val="ListParagraph"/>
        <w:numPr>
          <w:ilvl w:val="1"/>
          <w:numId w:val="4"/>
        </w:numPr>
        <w:spacing w:after="0" w:line="240" w:lineRule="auto"/>
        <w:ind w:left="851" w:hanging="491"/>
        <w:jc w:val="both"/>
        <w:rPr>
          <w:rFonts w:ascii="Arial" w:hAnsi="Arial" w:cs="Arial"/>
          <w:b/>
          <w:sz w:val="24"/>
          <w:szCs w:val="20"/>
        </w:rPr>
      </w:pPr>
      <w:r w:rsidRPr="004766DE">
        <w:rPr>
          <w:rFonts w:ascii="Arial" w:hAnsi="Arial" w:cs="Arial"/>
          <w:sz w:val="24"/>
          <w:szCs w:val="20"/>
        </w:rPr>
        <w:t>In agreeing a section 117 aftercare plan, the LSSA must also ensure that this is informed by, and reflected in, any other statutory and non-statutory assessment or plan for the child, such as Education Care and Health Plan, Early Help Plan, Child in Need Plan, Child Protection Plan, Looked After Care Plan or Leaving Care Pathway Plan, and where appropriate run concurrently with co-ordinated reviews. Whilst co-ordinating planning can be complex, for example where a young person is transitioning to adult health and social care services, this should never be a reason to delay discharge.</w:t>
      </w:r>
    </w:p>
    <w:p w14:paraId="72705DD7" w14:textId="1BEAD0A9" w:rsidR="004766DE" w:rsidRPr="00413418" w:rsidRDefault="004766DE" w:rsidP="004766DE">
      <w:pPr>
        <w:pStyle w:val="Heading1"/>
        <w:numPr>
          <w:ilvl w:val="0"/>
          <w:numId w:val="4"/>
        </w:numPr>
        <w:rPr>
          <w:rFonts w:ascii="Arial" w:hAnsi="Arial" w:cs="Arial"/>
          <w:b/>
          <w:bCs/>
          <w:sz w:val="28"/>
          <w:szCs w:val="28"/>
        </w:rPr>
      </w:pPr>
      <w:bookmarkStart w:id="9" w:name="_Toc134786630"/>
      <w:r w:rsidRPr="00413418">
        <w:rPr>
          <w:rFonts w:ascii="Arial" w:hAnsi="Arial" w:cs="Arial"/>
          <w:b/>
          <w:bCs/>
          <w:sz w:val="28"/>
          <w:szCs w:val="28"/>
        </w:rPr>
        <w:t>Charging for Aftercare Services</w:t>
      </w:r>
      <w:bookmarkEnd w:id="9"/>
    </w:p>
    <w:p w14:paraId="5E68371B" w14:textId="554C31EC" w:rsidR="004766DE" w:rsidRDefault="004766DE" w:rsidP="004766DE">
      <w:pPr>
        <w:ind w:left="360"/>
        <w:rPr>
          <w:rFonts w:ascii="Arial" w:hAnsi="Arial" w:cs="Arial"/>
          <w:sz w:val="24"/>
          <w:szCs w:val="20"/>
        </w:rPr>
      </w:pPr>
    </w:p>
    <w:p w14:paraId="3A2DC568" w14:textId="77777777" w:rsidR="00FE57FC" w:rsidRPr="00FE57FC" w:rsidRDefault="005833C2" w:rsidP="00DD0AC8">
      <w:pPr>
        <w:ind w:left="851" w:hanging="491"/>
        <w:jc w:val="both"/>
        <w:rPr>
          <w:rFonts w:ascii="Arial" w:hAnsi="Arial" w:cs="Arial"/>
          <w:sz w:val="24"/>
          <w:szCs w:val="20"/>
        </w:rPr>
      </w:pPr>
      <w:r>
        <w:rPr>
          <w:rFonts w:ascii="Arial" w:hAnsi="Arial" w:cs="Arial"/>
          <w:sz w:val="24"/>
          <w:szCs w:val="20"/>
        </w:rPr>
        <w:lastRenderedPageBreak/>
        <w:t>9.1</w:t>
      </w:r>
      <w:r>
        <w:rPr>
          <w:rFonts w:ascii="Arial" w:hAnsi="Arial" w:cs="Arial"/>
          <w:sz w:val="24"/>
          <w:szCs w:val="20"/>
        </w:rPr>
        <w:tab/>
      </w:r>
      <w:r w:rsidR="00FE57FC" w:rsidRPr="00FE57FC">
        <w:rPr>
          <w:rFonts w:ascii="Arial" w:hAnsi="Arial" w:cs="Arial"/>
          <w:sz w:val="24"/>
          <w:szCs w:val="20"/>
        </w:rPr>
        <w:t>Aftercare services provided under S117 aftercare must be provided free of charge.</w:t>
      </w:r>
    </w:p>
    <w:p w14:paraId="0F875B14" w14:textId="21D2C363" w:rsidR="00F013D6" w:rsidRPr="00F013D6" w:rsidRDefault="00F013D6" w:rsidP="00DD0AC8">
      <w:pPr>
        <w:ind w:left="851" w:hanging="491"/>
        <w:jc w:val="both"/>
        <w:rPr>
          <w:rFonts w:ascii="Arial" w:hAnsi="Arial" w:cs="Arial"/>
          <w:sz w:val="24"/>
          <w:szCs w:val="20"/>
        </w:rPr>
      </w:pPr>
      <w:r>
        <w:rPr>
          <w:rFonts w:ascii="Arial" w:hAnsi="Arial" w:cs="Arial"/>
          <w:sz w:val="24"/>
          <w:szCs w:val="20"/>
        </w:rPr>
        <w:t>9.2</w:t>
      </w:r>
      <w:r>
        <w:rPr>
          <w:rFonts w:ascii="Arial" w:hAnsi="Arial" w:cs="Arial"/>
          <w:sz w:val="24"/>
          <w:szCs w:val="20"/>
        </w:rPr>
        <w:tab/>
      </w:r>
      <w:r w:rsidRPr="00F013D6">
        <w:rPr>
          <w:rFonts w:ascii="Arial" w:hAnsi="Arial" w:cs="Arial"/>
          <w:sz w:val="24"/>
          <w:szCs w:val="20"/>
        </w:rPr>
        <w:t>The provision of aftercare services under S117 should not be confused with providing essentials for life such as food, clothes, accommodation, heating etc. These remain the responsibility of the individual except in the very special cases where accommodation, heating etc. are provided as part of a residential placement and are an inseparable part of the aftercare plan.</w:t>
      </w:r>
    </w:p>
    <w:p w14:paraId="67242012" w14:textId="5C5D5C8B" w:rsidR="005833C2" w:rsidRDefault="00F013D6" w:rsidP="00DD0AC8">
      <w:pPr>
        <w:ind w:left="851" w:hanging="491"/>
        <w:jc w:val="both"/>
        <w:rPr>
          <w:rFonts w:ascii="Arial" w:hAnsi="Arial" w:cs="Arial"/>
          <w:sz w:val="24"/>
          <w:szCs w:val="20"/>
        </w:rPr>
      </w:pPr>
      <w:r>
        <w:rPr>
          <w:rFonts w:ascii="Arial" w:hAnsi="Arial" w:cs="Arial"/>
          <w:sz w:val="24"/>
          <w:szCs w:val="20"/>
        </w:rPr>
        <w:t>9.3</w:t>
      </w:r>
      <w:r>
        <w:rPr>
          <w:rFonts w:ascii="Arial" w:hAnsi="Arial" w:cs="Arial"/>
          <w:sz w:val="24"/>
          <w:szCs w:val="20"/>
        </w:rPr>
        <w:tab/>
      </w:r>
      <w:r w:rsidRPr="00FE57FC">
        <w:rPr>
          <w:rFonts w:ascii="Arial" w:hAnsi="Arial" w:cs="Arial"/>
          <w:sz w:val="24"/>
          <w:szCs w:val="20"/>
        </w:rPr>
        <w:t>The provision of aftercare services under S117 should not be confused with providing essentials for life such as food, clothes, accommodation, heating etc. These remain the responsibility of the individual except in the very special cases where accommodation, heating etc. are provided as part of a residential placement and are an inseparable part of the aftercare plan.</w:t>
      </w:r>
    </w:p>
    <w:p w14:paraId="41244089" w14:textId="5803B8BB" w:rsidR="00DD0AC8" w:rsidRPr="00FE57FC" w:rsidRDefault="00DD0AC8" w:rsidP="00DD0AC8">
      <w:pPr>
        <w:ind w:left="851" w:hanging="491"/>
        <w:jc w:val="both"/>
        <w:rPr>
          <w:rFonts w:ascii="Arial" w:hAnsi="Arial" w:cs="Arial"/>
          <w:sz w:val="24"/>
          <w:szCs w:val="20"/>
        </w:rPr>
      </w:pPr>
      <w:r>
        <w:rPr>
          <w:rFonts w:ascii="Arial" w:hAnsi="Arial" w:cs="Arial"/>
          <w:sz w:val="24"/>
          <w:szCs w:val="20"/>
        </w:rPr>
        <w:t>9.4</w:t>
      </w:r>
      <w:r>
        <w:rPr>
          <w:rFonts w:ascii="Arial" w:hAnsi="Arial" w:cs="Arial"/>
          <w:sz w:val="24"/>
          <w:szCs w:val="20"/>
        </w:rPr>
        <w:tab/>
      </w:r>
      <w:r w:rsidRPr="00FE57FC">
        <w:rPr>
          <w:rFonts w:ascii="Arial" w:hAnsi="Arial" w:cs="Arial"/>
          <w:sz w:val="24"/>
          <w:szCs w:val="20"/>
        </w:rPr>
        <w:t>If the aftercare to be provided includes housing-related support that would normally be funded by Supporting People grants, this will be paid by the LSSA, unless the housing related support is identified as not being part of S117 aftercare services.</w:t>
      </w:r>
    </w:p>
    <w:p w14:paraId="10C77F3D" w14:textId="77777777" w:rsidR="00DD0AC8" w:rsidRPr="00FE57FC" w:rsidRDefault="00DD0AC8" w:rsidP="00DD0AC8">
      <w:pPr>
        <w:ind w:left="851" w:hanging="491"/>
        <w:jc w:val="both"/>
        <w:rPr>
          <w:rFonts w:ascii="Arial" w:hAnsi="Arial" w:cs="Arial"/>
          <w:sz w:val="24"/>
          <w:szCs w:val="20"/>
        </w:rPr>
      </w:pPr>
      <w:r>
        <w:rPr>
          <w:rFonts w:ascii="Arial" w:hAnsi="Arial" w:cs="Arial"/>
          <w:sz w:val="24"/>
          <w:szCs w:val="20"/>
        </w:rPr>
        <w:t>9.5</w:t>
      </w:r>
      <w:r>
        <w:rPr>
          <w:rFonts w:ascii="Arial" w:hAnsi="Arial" w:cs="Arial"/>
          <w:sz w:val="24"/>
          <w:szCs w:val="20"/>
        </w:rPr>
        <w:tab/>
      </w:r>
      <w:r w:rsidRPr="00FE57FC">
        <w:rPr>
          <w:rFonts w:ascii="Arial" w:hAnsi="Arial" w:cs="Arial"/>
          <w:sz w:val="24"/>
          <w:szCs w:val="20"/>
        </w:rPr>
        <w:t>S117 aftercare concerns needs arising from or relating to the person’s mental disorder and hospital admission. It is therefore important to recognise that an individual may have care and/or health needs that fall outside the scope of the S117 aftercare plan. For example, this may relate to a physical disability or illness that has no direct bearing on the person’s mental health.  It can therefore be the case that an individual may be S117 eligible, as well as having additional care and support needs (that fall outside the S117 plan) that will be met under the Social Services and Well-being (Wales) Act 2014 (SSWA), subject to eligibility criteria being met.</w:t>
      </w:r>
    </w:p>
    <w:p w14:paraId="7A08BDEB" w14:textId="2D9E848F" w:rsidR="00AF3136" w:rsidRPr="00FE57FC" w:rsidRDefault="00AF3136" w:rsidP="005C50C3">
      <w:pPr>
        <w:ind w:left="851" w:hanging="491"/>
        <w:jc w:val="both"/>
        <w:rPr>
          <w:rFonts w:ascii="Arial" w:hAnsi="Arial" w:cs="Arial"/>
          <w:sz w:val="24"/>
          <w:szCs w:val="20"/>
        </w:rPr>
      </w:pPr>
      <w:r>
        <w:rPr>
          <w:rFonts w:ascii="Arial" w:hAnsi="Arial" w:cs="Arial"/>
          <w:sz w:val="24"/>
          <w:szCs w:val="20"/>
        </w:rPr>
        <w:t>9.6</w:t>
      </w:r>
      <w:r>
        <w:rPr>
          <w:rFonts w:ascii="Arial" w:hAnsi="Arial" w:cs="Arial"/>
          <w:sz w:val="24"/>
          <w:szCs w:val="20"/>
        </w:rPr>
        <w:tab/>
      </w:r>
      <w:r w:rsidRPr="00FE57FC">
        <w:rPr>
          <w:rFonts w:ascii="Arial" w:hAnsi="Arial" w:cs="Arial"/>
          <w:sz w:val="24"/>
          <w:szCs w:val="20"/>
        </w:rPr>
        <w:t>Where S117 aftercare is meeting a social care need and the local social services authority commits itself to providing a level of funding that will adequately meet the assessed need of the patient, there is nothing to prevent top up payments being made by the patient to fund additional or higher level of services.</w:t>
      </w:r>
    </w:p>
    <w:p w14:paraId="5A324C70" w14:textId="192BB677" w:rsidR="00AF3136" w:rsidRPr="00FE57FC" w:rsidRDefault="00AF3136" w:rsidP="00E446BE">
      <w:pPr>
        <w:ind w:left="851" w:hanging="491"/>
        <w:jc w:val="both"/>
        <w:rPr>
          <w:rFonts w:ascii="Arial" w:hAnsi="Arial" w:cs="Arial"/>
          <w:sz w:val="24"/>
          <w:szCs w:val="20"/>
        </w:rPr>
      </w:pPr>
      <w:r>
        <w:rPr>
          <w:rFonts w:ascii="Arial" w:hAnsi="Arial" w:cs="Arial"/>
          <w:sz w:val="24"/>
          <w:szCs w:val="20"/>
        </w:rPr>
        <w:t>9.7</w:t>
      </w:r>
      <w:r>
        <w:rPr>
          <w:rFonts w:ascii="Arial" w:hAnsi="Arial" w:cs="Arial"/>
          <w:sz w:val="24"/>
          <w:szCs w:val="20"/>
        </w:rPr>
        <w:tab/>
      </w:r>
      <w:r w:rsidRPr="00FE57FC">
        <w:rPr>
          <w:rFonts w:ascii="Arial" w:hAnsi="Arial" w:cs="Arial"/>
          <w:sz w:val="24"/>
          <w:szCs w:val="20"/>
        </w:rPr>
        <w:t>S117 imposes a joint duty on the LSSAs and CTMUHB to provide a seamless aftercare service.  If all the required aftercare services are to be provided under S117 it is not necessary to assess for eligibility for NHS continuing healthcare (CHC) funding. In other words, a primary healthcare need does not need to be established to require the Health Board to fund, and in most cases the complexity of a patient’s need will require both the Health Board and the local authority to work together to achieve the outcomes set out in S117.</w:t>
      </w:r>
    </w:p>
    <w:p w14:paraId="50B34DBA" w14:textId="56AB3E4D" w:rsidR="00FE57FC" w:rsidRPr="00FE57FC" w:rsidRDefault="00FE57FC" w:rsidP="00E446BE">
      <w:pPr>
        <w:ind w:left="360"/>
        <w:jc w:val="both"/>
        <w:rPr>
          <w:rFonts w:ascii="Arial" w:hAnsi="Arial" w:cs="Arial"/>
          <w:sz w:val="24"/>
          <w:szCs w:val="20"/>
        </w:rPr>
      </w:pPr>
    </w:p>
    <w:p w14:paraId="34EFB86B" w14:textId="77777777" w:rsidR="00FE57FC" w:rsidRPr="00FE57FC" w:rsidRDefault="00FE57FC" w:rsidP="00E446BE">
      <w:pPr>
        <w:ind w:left="360"/>
        <w:jc w:val="both"/>
        <w:rPr>
          <w:rFonts w:ascii="Arial" w:hAnsi="Arial" w:cs="Arial"/>
          <w:sz w:val="24"/>
          <w:szCs w:val="20"/>
        </w:rPr>
      </w:pPr>
    </w:p>
    <w:p w14:paraId="0FDA59F5" w14:textId="77777777" w:rsidR="00FE57FC" w:rsidRPr="00FE57FC" w:rsidRDefault="00FE57FC" w:rsidP="00E446BE">
      <w:pPr>
        <w:ind w:left="360"/>
        <w:jc w:val="both"/>
        <w:rPr>
          <w:rFonts w:ascii="Arial" w:hAnsi="Arial" w:cs="Arial"/>
          <w:sz w:val="24"/>
          <w:szCs w:val="20"/>
        </w:rPr>
      </w:pPr>
    </w:p>
    <w:p w14:paraId="4674B039" w14:textId="77777777" w:rsidR="00751C90" w:rsidRDefault="00751C90" w:rsidP="00E446BE">
      <w:pPr>
        <w:ind w:left="851" w:hanging="491"/>
        <w:jc w:val="both"/>
        <w:rPr>
          <w:rFonts w:ascii="Arial" w:hAnsi="Arial" w:cs="Arial"/>
          <w:sz w:val="24"/>
          <w:szCs w:val="20"/>
        </w:rPr>
      </w:pPr>
      <w:r>
        <w:rPr>
          <w:rFonts w:ascii="Arial" w:hAnsi="Arial" w:cs="Arial"/>
          <w:sz w:val="24"/>
          <w:szCs w:val="20"/>
        </w:rPr>
        <w:t>9.8</w:t>
      </w:r>
      <w:r>
        <w:rPr>
          <w:rFonts w:ascii="Arial" w:hAnsi="Arial" w:cs="Arial"/>
          <w:sz w:val="24"/>
          <w:szCs w:val="20"/>
        </w:rPr>
        <w:tab/>
      </w:r>
      <w:r w:rsidRPr="00751C90">
        <w:rPr>
          <w:rFonts w:ascii="Arial" w:hAnsi="Arial" w:cs="Arial"/>
          <w:sz w:val="24"/>
          <w:szCs w:val="20"/>
        </w:rPr>
        <w:t>In the absence of an agreement between the LSSA and CTMUHB, an assessment is required to determine whether the service is to be paid for out of an NHS or local authority budget or as a joint arrangement. This funding decision is then referred to a funding panel consisting of all partner agencies to determine the proportion of funding and should be made on the basis of a comprehensive assessment.</w:t>
      </w:r>
    </w:p>
    <w:p w14:paraId="3391DA51" w14:textId="77777777" w:rsidR="00831415" w:rsidRPr="00831415" w:rsidRDefault="00B446B6" w:rsidP="00E446BE">
      <w:pPr>
        <w:ind w:left="851" w:hanging="491"/>
        <w:jc w:val="both"/>
        <w:rPr>
          <w:rFonts w:ascii="Arial" w:hAnsi="Arial" w:cs="Arial"/>
          <w:sz w:val="24"/>
          <w:szCs w:val="20"/>
        </w:rPr>
      </w:pPr>
      <w:r>
        <w:rPr>
          <w:rFonts w:ascii="Arial" w:hAnsi="Arial" w:cs="Arial"/>
          <w:sz w:val="24"/>
          <w:szCs w:val="20"/>
        </w:rPr>
        <w:t>9.9</w:t>
      </w:r>
      <w:r w:rsidR="00831415">
        <w:rPr>
          <w:rFonts w:ascii="Arial" w:hAnsi="Arial" w:cs="Arial"/>
          <w:sz w:val="24"/>
          <w:szCs w:val="20"/>
        </w:rPr>
        <w:tab/>
      </w:r>
      <w:r w:rsidR="00831415" w:rsidRPr="00831415">
        <w:rPr>
          <w:rFonts w:ascii="Arial" w:hAnsi="Arial" w:cs="Arial"/>
          <w:sz w:val="24"/>
          <w:szCs w:val="20"/>
        </w:rPr>
        <w:t>A person in receipt of S117 aftercare services may also have needs for CHC not related to their mental health. In such a case a CHC assessment may be necessary to establish how these needs will be addressed.</w:t>
      </w:r>
    </w:p>
    <w:p w14:paraId="7ECE2610" w14:textId="106A32E4" w:rsidR="003C598F" w:rsidRPr="00413418" w:rsidRDefault="003C598F" w:rsidP="003C598F">
      <w:pPr>
        <w:pStyle w:val="Heading1"/>
        <w:rPr>
          <w:rFonts w:ascii="Arial" w:hAnsi="Arial" w:cs="Arial"/>
          <w:b/>
          <w:bCs/>
          <w:sz w:val="28"/>
          <w:szCs w:val="28"/>
        </w:rPr>
      </w:pPr>
      <w:bookmarkStart w:id="10" w:name="_Toc134786631"/>
      <w:r w:rsidRPr="00413418">
        <w:rPr>
          <w:rFonts w:ascii="Arial" w:hAnsi="Arial" w:cs="Arial"/>
          <w:b/>
          <w:bCs/>
          <w:sz w:val="28"/>
          <w:szCs w:val="28"/>
        </w:rPr>
        <w:t xml:space="preserve">10. </w:t>
      </w:r>
      <w:r w:rsidR="00A86900">
        <w:rPr>
          <w:rFonts w:ascii="Arial" w:hAnsi="Arial" w:cs="Arial"/>
          <w:b/>
          <w:bCs/>
          <w:sz w:val="28"/>
          <w:szCs w:val="28"/>
        </w:rPr>
        <w:tab/>
      </w:r>
      <w:r w:rsidRPr="00413418">
        <w:rPr>
          <w:rFonts w:ascii="Arial" w:hAnsi="Arial" w:cs="Arial"/>
          <w:b/>
          <w:bCs/>
          <w:sz w:val="28"/>
          <w:szCs w:val="28"/>
        </w:rPr>
        <w:t>Ordinary Residence &amp; Moving Areas</w:t>
      </w:r>
      <w:bookmarkEnd w:id="10"/>
    </w:p>
    <w:p w14:paraId="3A540EF2" w14:textId="77777777" w:rsidR="003C598F" w:rsidRDefault="003C598F" w:rsidP="003C598F"/>
    <w:p w14:paraId="0F422A41" w14:textId="77777777" w:rsidR="00E446BE" w:rsidRPr="00E446BE" w:rsidRDefault="00E446BE" w:rsidP="00E446BE">
      <w:pPr>
        <w:ind w:left="720" w:hanging="720"/>
        <w:jc w:val="both"/>
        <w:rPr>
          <w:rFonts w:ascii="Arial" w:hAnsi="Arial" w:cs="Arial"/>
          <w:sz w:val="24"/>
          <w:szCs w:val="24"/>
        </w:rPr>
      </w:pPr>
      <w:r w:rsidRPr="00E446BE">
        <w:rPr>
          <w:rFonts w:ascii="Arial" w:hAnsi="Arial" w:cs="Arial"/>
          <w:sz w:val="24"/>
          <w:szCs w:val="24"/>
        </w:rPr>
        <w:t>10.1</w:t>
      </w:r>
      <w:r w:rsidRPr="00E446BE">
        <w:rPr>
          <w:rFonts w:ascii="Arial" w:hAnsi="Arial" w:cs="Arial"/>
          <w:sz w:val="24"/>
          <w:szCs w:val="24"/>
        </w:rPr>
        <w:tab/>
        <w:t xml:space="preserve">Following the case of </w:t>
      </w:r>
      <w:r w:rsidRPr="00E446BE">
        <w:rPr>
          <w:rFonts w:ascii="Arial" w:hAnsi="Arial" w:cs="Arial"/>
          <w:i/>
          <w:iCs/>
          <w:sz w:val="24"/>
          <w:szCs w:val="24"/>
          <w:lang w:val="en"/>
        </w:rPr>
        <w:t>The Queen (on the application of Worcestershire County Council) v Secretary of State for Health and Social Care v Swindon Borough Council</w:t>
      </w:r>
      <w:r w:rsidRPr="00E446BE">
        <w:rPr>
          <w:rFonts w:ascii="Arial" w:hAnsi="Arial" w:cs="Arial"/>
          <w:sz w:val="24"/>
          <w:szCs w:val="24"/>
          <w:lang w:val="en"/>
        </w:rPr>
        <w:t xml:space="preserve"> [2021] EWHC 682 Admin, 2021 WL 01081238, the correct test to apply in determining ordinary residence is the Shah test i.e. the person’s abode which they have adopted voluntarily and for settled purposes as part of the regular order of their life for the time being whether of short or long duration.</w:t>
      </w:r>
    </w:p>
    <w:p w14:paraId="2CD1852C" w14:textId="77777777" w:rsidR="00B251BC" w:rsidRPr="00E446BE" w:rsidRDefault="009D21C1" w:rsidP="00B251BC">
      <w:pPr>
        <w:ind w:left="720" w:hanging="720"/>
        <w:jc w:val="both"/>
        <w:rPr>
          <w:rFonts w:ascii="Arial" w:hAnsi="Arial" w:cs="Arial"/>
          <w:sz w:val="24"/>
          <w:szCs w:val="24"/>
        </w:rPr>
      </w:pPr>
      <w:r w:rsidRPr="00B251BC">
        <w:rPr>
          <w:rFonts w:ascii="Arial" w:hAnsi="Arial" w:cs="Arial"/>
          <w:sz w:val="24"/>
          <w:szCs w:val="24"/>
        </w:rPr>
        <w:t>10.2</w:t>
      </w:r>
      <w:r w:rsidRPr="00B251BC">
        <w:rPr>
          <w:rFonts w:ascii="Arial" w:hAnsi="Arial" w:cs="Arial"/>
          <w:sz w:val="24"/>
          <w:szCs w:val="24"/>
        </w:rPr>
        <w:tab/>
      </w:r>
      <w:r w:rsidR="00B251BC" w:rsidRPr="00E446BE">
        <w:rPr>
          <w:rFonts w:ascii="Arial" w:hAnsi="Arial" w:cs="Arial"/>
          <w:sz w:val="24"/>
          <w:szCs w:val="24"/>
          <w:lang w:val="en-US"/>
        </w:rPr>
        <w:t>Although any change in the patient’s ordinary residence after discharge will affect the LSSA responsible for their social care services, it will not affect the LSSA responsible for commissioning the patient’s section 117 after-care. Under section 117 of the 1983 Act, as amended by the Care Act 2014, if a person is ordinarily resident in LSSA area (A) immediately before detention under the 1983 Act, and moves on discharge to LSSA area (B) and moves again to LSSA area (C), LSSA (A) will remain responsible for providing or commissioning their after-care. However, if the patient, having become ordinarily resident after discharge in local authority area (B) or (C), is subsequently detained in hospital for treatment again, the local authority in whose area the person was ordinarily resident immediately before their subsequent admission (local authority (B) or (C)) will be responsible for providing and commissioning their after-care when they are discharged from hospital.</w:t>
      </w:r>
    </w:p>
    <w:p w14:paraId="3D7CAA45" w14:textId="77777777" w:rsidR="00D868B8" w:rsidRPr="00E446BE" w:rsidRDefault="00D868B8" w:rsidP="00D868B8">
      <w:pPr>
        <w:ind w:left="720" w:hanging="720"/>
        <w:jc w:val="both"/>
        <w:rPr>
          <w:rFonts w:ascii="Arial" w:hAnsi="Arial" w:cs="Arial"/>
          <w:sz w:val="24"/>
          <w:szCs w:val="24"/>
        </w:rPr>
      </w:pPr>
      <w:r>
        <w:rPr>
          <w:rFonts w:ascii="Arial" w:hAnsi="Arial" w:cs="Arial"/>
          <w:sz w:val="24"/>
          <w:szCs w:val="24"/>
        </w:rPr>
        <w:t>10.3</w:t>
      </w:r>
      <w:r>
        <w:rPr>
          <w:rFonts w:ascii="Arial" w:hAnsi="Arial" w:cs="Arial"/>
          <w:sz w:val="24"/>
          <w:szCs w:val="24"/>
        </w:rPr>
        <w:tab/>
      </w:r>
      <w:r w:rsidRPr="00E446BE">
        <w:rPr>
          <w:rFonts w:ascii="Arial" w:hAnsi="Arial" w:cs="Arial"/>
          <w:sz w:val="24"/>
          <w:szCs w:val="24"/>
        </w:rPr>
        <w:t>Based on the current ruling by the Supreme Court on 22/12/2021, the Local Authority and Local Health Board which is responsible for providing a service user’s s.117 after-care needs will retain that responsibility unless and until there is a determination by both the Local Authority and Health Board that the patient is no longer in need of after-care services. That responsibility can survive an out of area placement.</w:t>
      </w:r>
    </w:p>
    <w:p w14:paraId="35D966CE" w14:textId="77777777" w:rsidR="00D868B8" w:rsidRPr="00E446BE" w:rsidRDefault="00D868B8" w:rsidP="00D868B8">
      <w:pPr>
        <w:ind w:left="720" w:hanging="720"/>
        <w:jc w:val="both"/>
        <w:rPr>
          <w:rFonts w:ascii="Arial" w:hAnsi="Arial" w:cs="Arial"/>
          <w:sz w:val="24"/>
          <w:szCs w:val="24"/>
        </w:rPr>
      </w:pPr>
      <w:r>
        <w:rPr>
          <w:rFonts w:ascii="Arial" w:hAnsi="Arial" w:cs="Arial"/>
          <w:sz w:val="24"/>
          <w:szCs w:val="24"/>
        </w:rPr>
        <w:t>10.4</w:t>
      </w:r>
      <w:r>
        <w:rPr>
          <w:rFonts w:ascii="Arial" w:hAnsi="Arial" w:cs="Arial"/>
          <w:sz w:val="24"/>
          <w:szCs w:val="24"/>
        </w:rPr>
        <w:tab/>
      </w:r>
      <w:r w:rsidRPr="00E446BE">
        <w:rPr>
          <w:rFonts w:ascii="Arial" w:hAnsi="Arial" w:cs="Arial"/>
          <w:sz w:val="24"/>
          <w:szCs w:val="24"/>
        </w:rPr>
        <w:t xml:space="preserve">A LSSA/CTMUHB’s Section 117 aftercare responsibility can remain even if there is a subsequent detention under the MHA. Therefore, if CTMUHB is the responsible Health Board for a patient’s section 117 aftercare, that </w:t>
      </w:r>
      <w:r w:rsidRPr="00E446BE">
        <w:rPr>
          <w:rFonts w:ascii="Arial" w:hAnsi="Arial" w:cs="Arial"/>
          <w:sz w:val="24"/>
          <w:szCs w:val="24"/>
        </w:rPr>
        <w:lastRenderedPageBreak/>
        <w:t xml:space="preserve">responsibility does not cease simply because the patient moves to a new area. Whilst the new area would be responsible for meeting the patient’s other health needs, CTMUHB (together with the originating LSSA) would retain responsibility for the patient’s section 117 aftercare until a decision was made by both the LSSA and CTMUHB that the patient is no longer in need of after-care services. </w:t>
      </w:r>
    </w:p>
    <w:p w14:paraId="34A64247" w14:textId="49F8FFDD" w:rsidR="003C598F" w:rsidRPr="002A6413" w:rsidRDefault="00D868B8" w:rsidP="00D868B8">
      <w:pPr>
        <w:ind w:left="720" w:hanging="720"/>
        <w:jc w:val="both"/>
        <w:rPr>
          <w:rFonts w:ascii="Arial" w:hAnsi="Arial" w:cs="Arial"/>
          <w:sz w:val="24"/>
          <w:szCs w:val="24"/>
        </w:rPr>
      </w:pPr>
      <w:r>
        <w:rPr>
          <w:rFonts w:ascii="Arial" w:hAnsi="Arial" w:cs="Arial"/>
          <w:sz w:val="24"/>
          <w:szCs w:val="24"/>
        </w:rPr>
        <w:t>10.5</w:t>
      </w:r>
      <w:r>
        <w:rPr>
          <w:rFonts w:ascii="Arial" w:hAnsi="Arial" w:cs="Arial"/>
          <w:sz w:val="24"/>
          <w:szCs w:val="24"/>
        </w:rPr>
        <w:tab/>
      </w:r>
      <w:r w:rsidRPr="00E446BE">
        <w:rPr>
          <w:rFonts w:ascii="Arial" w:hAnsi="Arial" w:cs="Arial"/>
          <w:sz w:val="24"/>
          <w:szCs w:val="24"/>
        </w:rPr>
        <w:t>A patient’s GP registration has no impact on which Health Board is responsible for providing section 117 aftercare</w:t>
      </w:r>
      <w:r>
        <w:rPr>
          <w:rFonts w:ascii="Arial" w:hAnsi="Arial" w:cs="Arial"/>
          <w:sz w:val="24"/>
          <w:szCs w:val="24"/>
        </w:rPr>
        <w:t>.</w:t>
      </w:r>
    </w:p>
    <w:p w14:paraId="677126B8" w14:textId="77777777" w:rsidR="00D868B8" w:rsidRPr="00E446BE" w:rsidRDefault="00D868B8" w:rsidP="00D868B8">
      <w:pPr>
        <w:ind w:left="720" w:hanging="720"/>
        <w:jc w:val="both"/>
        <w:rPr>
          <w:rFonts w:ascii="Arial" w:hAnsi="Arial" w:cs="Arial"/>
          <w:sz w:val="24"/>
          <w:szCs w:val="24"/>
        </w:rPr>
      </w:pPr>
      <w:r>
        <w:rPr>
          <w:rFonts w:ascii="Arial" w:hAnsi="Arial" w:cs="Arial"/>
          <w:sz w:val="24"/>
          <w:szCs w:val="24"/>
        </w:rPr>
        <w:t>10.6</w:t>
      </w:r>
      <w:r>
        <w:rPr>
          <w:rFonts w:ascii="Arial" w:hAnsi="Arial" w:cs="Arial"/>
          <w:sz w:val="24"/>
          <w:szCs w:val="24"/>
        </w:rPr>
        <w:tab/>
      </w:r>
      <w:r w:rsidRPr="00E446BE">
        <w:rPr>
          <w:rFonts w:ascii="Arial" w:hAnsi="Arial" w:cs="Arial"/>
          <w:sz w:val="24"/>
          <w:szCs w:val="24"/>
        </w:rPr>
        <w:t>If a dispute arises between Health Boards as to a patient’s ordinary residence or who is the responsible commissioner for section 117 aftercare, advice should be sought from the Welsh Ministers. A patient’s entitlement to section 117 aftercare should never be compromised due to a dispute between health bodies.</w:t>
      </w:r>
    </w:p>
    <w:p w14:paraId="1C25C5F7" w14:textId="7A7123A9" w:rsidR="00E446BE" w:rsidRPr="00413418" w:rsidRDefault="00157F13" w:rsidP="00157F13">
      <w:pPr>
        <w:pStyle w:val="Heading1"/>
        <w:rPr>
          <w:rFonts w:ascii="Arial" w:hAnsi="Arial" w:cs="Arial"/>
          <w:b/>
          <w:bCs/>
          <w:sz w:val="28"/>
          <w:szCs w:val="28"/>
        </w:rPr>
      </w:pPr>
      <w:bookmarkStart w:id="11" w:name="_Toc134786632"/>
      <w:r w:rsidRPr="00413418">
        <w:rPr>
          <w:rFonts w:ascii="Arial" w:hAnsi="Arial" w:cs="Arial"/>
          <w:b/>
          <w:bCs/>
          <w:sz w:val="28"/>
          <w:szCs w:val="28"/>
        </w:rPr>
        <w:t>11.</w:t>
      </w:r>
      <w:r w:rsidRPr="00413418">
        <w:rPr>
          <w:rFonts w:ascii="Arial" w:hAnsi="Arial" w:cs="Arial"/>
          <w:b/>
          <w:bCs/>
          <w:sz w:val="28"/>
          <w:szCs w:val="28"/>
        </w:rPr>
        <w:tab/>
        <w:t>Direct Payments</w:t>
      </w:r>
      <w:bookmarkEnd w:id="11"/>
    </w:p>
    <w:p w14:paraId="7085F076" w14:textId="77777777" w:rsidR="00157F13" w:rsidRDefault="00157F13" w:rsidP="00157F13"/>
    <w:p w14:paraId="46666D12" w14:textId="77777777" w:rsidR="00A17513" w:rsidRPr="00A17513" w:rsidRDefault="00A17513" w:rsidP="00A17513">
      <w:pPr>
        <w:ind w:left="720" w:hanging="720"/>
        <w:jc w:val="both"/>
        <w:rPr>
          <w:rFonts w:ascii="Arial" w:hAnsi="Arial" w:cs="Arial"/>
          <w:sz w:val="24"/>
          <w:szCs w:val="24"/>
        </w:rPr>
      </w:pPr>
      <w:r w:rsidRPr="00A17513">
        <w:rPr>
          <w:rFonts w:ascii="Arial" w:hAnsi="Arial" w:cs="Arial"/>
          <w:sz w:val="24"/>
          <w:szCs w:val="24"/>
        </w:rPr>
        <w:t>11.1</w:t>
      </w:r>
      <w:r w:rsidRPr="00A17513">
        <w:rPr>
          <w:rFonts w:ascii="Arial" w:hAnsi="Arial" w:cs="Arial"/>
          <w:sz w:val="24"/>
          <w:szCs w:val="24"/>
        </w:rPr>
        <w:tab/>
        <w:t>Where a LSSA is under a duty to provide aftercare services for a person under S117 and the person is eligible to receive such payments under sections 50, 51 and 52 of the SSWA, then it must make direct payments to discharge its duty.</w:t>
      </w:r>
    </w:p>
    <w:p w14:paraId="7AA451B5" w14:textId="77777777" w:rsidR="00A17513" w:rsidRPr="00A17513" w:rsidRDefault="00A17513" w:rsidP="00A17513">
      <w:pPr>
        <w:ind w:left="720" w:hanging="720"/>
        <w:jc w:val="both"/>
        <w:rPr>
          <w:rFonts w:ascii="Arial" w:hAnsi="Arial" w:cs="Arial"/>
          <w:sz w:val="24"/>
          <w:szCs w:val="24"/>
        </w:rPr>
      </w:pPr>
      <w:r>
        <w:rPr>
          <w:rFonts w:ascii="Arial" w:hAnsi="Arial" w:cs="Arial"/>
          <w:sz w:val="24"/>
          <w:szCs w:val="24"/>
        </w:rPr>
        <w:t>11.2</w:t>
      </w:r>
      <w:r>
        <w:rPr>
          <w:rFonts w:ascii="Arial" w:hAnsi="Arial" w:cs="Arial"/>
          <w:sz w:val="24"/>
          <w:szCs w:val="24"/>
        </w:rPr>
        <w:tab/>
      </w:r>
      <w:r w:rsidRPr="00A17513">
        <w:rPr>
          <w:rFonts w:ascii="Arial" w:hAnsi="Arial" w:cs="Arial"/>
          <w:sz w:val="24"/>
          <w:szCs w:val="24"/>
        </w:rPr>
        <w:t xml:space="preserve">The LSSA’s duty to offer direct payments to anyone receiving services under S117 is subject to the exception of persons detailed in the schedule to Regulation 14(1) The Care and Support (Direct Payments) (Wales) Regulations 2015, where the local authority </w:t>
      </w:r>
      <w:r w:rsidRPr="00A17513">
        <w:rPr>
          <w:rFonts w:ascii="Arial" w:hAnsi="Arial" w:cs="Arial"/>
          <w:i/>
          <w:sz w:val="24"/>
          <w:szCs w:val="24"/>
        </w:rPr>
        <w:t>may</w:t>
      </w:r>
      <w:r w:rsidRPr="00A17513">
        <w:rPr>
          <w:rFonts w:ascii="Arial" w:hAnsi="Arial" w:cs="Arial"/>
          <w:sz w:val="24"/>
          <w:szCs w:val="24"/>
        </w:rPr>
        <w:t xml:space="preserve"> provide direct payments subject to certain conditions.</w:t>
      </w:r>
    </w:p>
    <w:p w14:paraId="4A63D715" w14:textId="01D3718D" w:rsidR="00157F13" w:rsidRPr="00413418" w:rsidRDefault="009E72B4" w:rsidP="009E72B4">
      <w:pPr>
        <w:pStyle w:val="Heading1"/>
        <w:rPr>
          <w:rFonts w:ascii="Arial" w:hAnsi="Arial" w:cs="Arial"/>
          <w:b/>
          <w:bCs/>
          <w:sz w:val="28"/>
          <w:szCs w:val="28"/>
        </w:rPr>
      </w:pPr>
      <w:bookmarkStart w:id="12" w:name="_Toc134786633"/>
      <w:r w:rsidRPr="00413418">
        <w:rPr>
          <w:rFonts w:ascii="Arial" w:hAnsi="Arial" w:cs="Arial"/>
          <w:b/>
          <w:bCs/>
          <w:sz w:val="28"/>
          <w:szCs w:val="28"/>
        </w:rPr>
        <w:t>12.</w:t>
      </w:r>
      <w:r w:rsidRPr="00413418">
        <w:rPr>
          <w:rFonts w:ascii="Arial" w:hAnsi="Arial" w:cs="Arial"/>
          <w:b/>
          <w:bCs/>
          <w:sz w:val="28"/>
          <w:szCs w:val="28"/>
        </w:rPr>
        <w:tab/>
      </w:r>
      <w:r w:rsidR="00454363" w:rsidRPr="00413418">
        <w:rPr>
          <w:rFonts w:ascii="Arial" w:hAnsi="Arial" w:cs="Arial"/>
          <w:b/>
          <w:bCs/>
          <w:sz w:val="28"/>
          <w:szCs w:val="28"/>
        </w:rPr>
        <w:t>Third Party Payments</w:t>
      </w:r>
      <w:bookmarkEnd w:id="12"/>
    </w:p>
    <w:p w14:paraId="535D6D15" w14:textId="10D8628E" w:rsidR="00454363" w:rsidRDefault="00454363" w:rsidP="00454363"/>
    <w:p w14:paraId="18748D43" w14:textId="3574BAEA" w:rsidR="004C496D" w:rsidRPr="004C496D" w:rsidRDefault="00824C85" w:rsidP="004C496D">
      <w:pPr>
        <w:ind w:left="720" w:hanging="720"/>
        <w:jc w:val="both"/>
        <w:rPr>
          <w:rFonts w:ascii="Arial" w:hAnsi="Arial" w:cs="Arial"/>
          <w:sz w:val="24"/>
          <w:szCs w:val="24"/>
        </w:rPr>
      </w:pPr>
      <w:r w:rsidRPr="00824C85">
        <w:rPr>
          <w:rFonts w:ascii="Arial" w:hAnsi="Arial" w:cs="Arial"/>
          <w:sz w:val="24"/>
          <w:szCs w:val="24"/>
        </w:rPr>
        <w:t>12.1</w:t>
      </w:r>
      <w:r w:rsidRPr="00824C85">
        <w:rPr>
          <w:rFonts w:ascii="Arial" w:hAnsi="Arial" w:cs="Arial"/>
          <w:sz w:val="24"/>
          <w:szCs w:val="24"/>
        </w:rPr>
        <w:tab/>
      </w:r>
      <w:r w:rsidR="004C496D" w:rsidRPr="004C496D">
        <w:rPr>
          <w:rFonts w:ascii="Arial" w:hAnsi="Arial" w:cs="Arial"/>
          <w:sz w:val="24"/>
          <w:szCs w:val="24"/>
        </w:rPr>
        <w:t xml:space="preserve">The right to third party/top up payments are not affected by being eligible to S117.  Third party payments can be made by anyone other than the person receiving the package of care.  Please refer to the SSWB Act 2014 for guidance regarding this ( </w:t>
      </w:r>
      <w:hyperlink r:id="rId15" w:history="1">
        <w:r w:rsidR="004C496D" w:rsidRPr="004C496D">
          <w:rPr>
            <w:rStyle w:val="Hyperlink"/>
            <w:rFonts w:ascii="Arial" w:hAnsi="Arial" w:cs="Arial"/>
            <w:sz w:val="24"/>
            <w:szCs w:val="24"/>
          </w:rPr>
          <w:t>Social Services and Well-being (Wales) Act 2014 (</w:t>
        </w:r>
        <w:proofErr w:type="spellStart"/>
        <w:r w:rsidR="004C496D" w:rsidRPr="004C496D">
          <w:rPr>
            <w:rStyle w:val="Hyperlink"/>
            <w:rFonts w:ascii="Arial" w:hAnsi="Arial" w:cs="Arial"/>
            <w:sz w:val="24"/>
            <w:szCs w:val="24"/>
          </w:rPr>
          <w:t>gov.wales</w:t>
        </w:r>
        <w:proofErr w:type="spellEnd"/>
        <w:r w:rsidR="004C496D" w:rsidRPr="004C496D">
          <w:rPr>
            <w:rStyle w:val="Hyperlink"/>
            <w:rFonts w:ascii="Arial" w:hAnsi="Arial" w:cs="Arial"/>
            <w:sz w:val="24"/>
            <w:szCs w:val="24"/>
          </w:rPr>
          <w:t>)</w:t>
        </w:r>
      </w:hyperlink>
      <w:r w:rsidR="009C46E7">
        <w:rPr>
          <w:rFonts w:ascii="Arial" w:hAnsi="Arial" w:cs="Arial"/>
          <w:sz w:val="24"/>
          <w:szCs w:val="24"/>
        </w:rPr>
        <w:t>.</w:t>
      </w:r>
    </w:p>
    <w:p w14:paraId="185E8A34" w14:textId="15E487D1" w:rsidR="00454363" w:rsidRPr="00413418" w:rsidRDefault="004C496D" w:rsidP="004C496D">
      <w:pPr>
        <w:pStyle w:val="Heading1"/>
        <w:rPr>
          <w:rFonts w:ascii="Arial" w:hAnsi="Arial" w:cs="Arial"/>
          <w:b/>
          <w:bCs/>
          <w:sz w:val="28"/>
          <w:szCs w:val="28"/>
        </w:rPr>
      </w:pPr>
      <w:bookmarkStart w:id="13" w:name="_Toc134786634"/>
      <w:r w:rsidRPr="00413418">
        <w:rPr>
          <w:rFonts w:ascii="Arial" w:hAnsi="Arial" w:cs="Arial"/>
          <w:b/>
          <w:bCs/>
          <w:sz w:val="28"/>
          <w:szCs w:val="28"/>
        </w:rPr>
        <w:t>13.</w:t>
      </w:r>
      <w:r w:rsidRPr="00413418">
        <w:rPr>
          <w:rFonts w:ascii="Arial" w:hAnsi="Arial" w:cs="Arial"/>
          <w:b/>
          <w:bCs/>
          <w:sz w:val="28"/>
          <w:szCs w:val="28"/>
        </w:rPr>
        <w:tab/>
      </w:r>
      <w:r w:rsidR="008055B1" w:rsidRPr="00413418">
        <w:rPr>
          <w:rFonts w:ascii="Arial" w:hAnsi="Arial" w:cs="Arial"/>
          <w:b/>
          <w:bCs/>
          <w:sz w:val="28"/>
          <w:szCs w:val="28"/>
        </w:rPr>
        <w:t>Ending S117 Aftercare</w:t>
      </w:r>
      <w:bookmarkEnd w:id="13"/>
    </w:p>
    <w:p w14:paraId="24FF44EF" w14:textId="77777777" w:rsidR="008055B1" w:rsidRPr="0013264C" w:rsidRDefault="008055B1" w:rsidP="008055B1">
      <w:pPr>
        <w:rPr>
          <w:rFonts w:ascii="Arial" w:hAnsi="Arial" w:cs="Arial"/>
          <w:sz w:val="24"/>
          <w:szCs w:val="24"/>
        </w:rPr>
      </w:pPr>
    </w:p>
    <w:p w14:paraId="5CB7030B" w14:textId="77777777" w:rsidR="0013264C" w:rsidRPr="008055B1" w:rsidRDefault="0013264C" w:rsidP="00EC08B6">
      <w:pPr>
        <w:ind w:left="720" w:hanging="720"/>
        <w:jc w:val="both"/>
        <w:rPr>
          <w:rFonts w:ascii="Arial" w:hAnsi="Arial" w:cs="Arial"/>
          <w:sz w:val="24"/>
          <w:szCs w:val="24"/>
        </w:rPr>
      </w:pPr>
      <w:r w:rsidRPr="0013264C">
        <w:rPr>
          <w:rFonts w:ascii="Arial" w:hAnsi="Arial" w:cs="Arial"/>
          <w:sz w:val="24"/>
          <w:szCs w:val="24"/>
        </w:rPr>
        <w:t>13.1</w:t>
      </w:r>
      <w:r w:rsidRPr="0013264C">
        <w:rPr>
          <w:rFonts w:ascii="Arial" w:hAnsi="Arial" w:cs="Arial"/>
          <w:sz w:val="24"/>
          <w:szCs w:val="24"/>
        </w:rPr>
        <w:tab/>
      </w:r>
      <w:r w:rsidRPr="008055B1">
        <w:rPr>
          <w:rFonts w:ascii="Arial" w:hAnsi="Arial" w:cs="Arial"/>
          <w:sz w:val="24"/>
          <w:szCs w:val="24"/>
        </w:rPr>
        <w:t xml:space="preserve">Aftercare provision under S117 does not have to continue indefinitely. It is for CTMUHB and the LSSA to decide in each case when aftercare provided under S117 should end, taking account of the patient's needs at the time. It is for the authority responsible for providing particular services to take the lead in </w:t>
      </w:r>
      <w:r w:rsidRPr="008055B1">
        <w:rPr>
          <w:rFonts w:ascii="Arial" w:hAnsi="Arial" w:cs="Arial"/>
          <w:sz w:val="24"/>
          <w:szCs w:val="24"/>
        </w:rPr>
        <w:lastRenderedPageBreak/>
        <w:t xml:space="preserve">determining when those services are no longer required. The patient, their </w:t>
      </w:r>
      <w:proofErr w:type="spellStart"/>
      <w:r w:rsidRPr="008055B1">
        <w:rPr>
          <w:rFonts w:ascii="Arial" w:hAnsi="Arial" w:cs="Arial"/>
          <w:sz w:val="24"/>
          <w:szCs w:val="24"/>
        </w:rPr>
        <w:t>carers</w:t>
      </w:r>
      <w:proofErr w:type="spellEnd"/>
      <w:r w:rsidRPr="008055B1">
        <w:rPr>
          <w:rFonts w:ascii="Arial" w:hAnsi="Arial" w:cs="Arial"/>
          <w:sz w:val="24"/>
          <w:szCs w:val="24"/>
        </w:rPr>
        <w:t>, and other agencies should always be consulted</w:t>
      </w:r>
      <w:r w:rsidRPr="008055B1">
        <w:rPr>
          <w:rFonts w:ascii="Arial" w:hAnsi="Arial" w:cs="Arial"/>
          <w:sz w:val="24"/>
          <w:szCs w:val="24"/>
          <w:vertAlign w:val="superscript"/>
        </w:rPr>
        <w:footnoteReference w:id="1"/>
      </w:r>
      <w:r w:rsidRPr="008055B1">
        <w:rPr>
          <w:rFonts w:ascii="Arial" w:hAnsi="Arial" w:cs="Arial"/>
          <w:sz w:val="24"/>
          <w:szCs w:val="24"/>
        </w:rPr>
        <w:t>.</w:t>
      </w:r>
    </w:p>
    <w:p w14:paraId="3535CECB" w14:textId="77777777" w:rsidR="000E7952" w:rsidRPr="008055B1" w:rsidRDefault="000E7952" w:rsidP="00CA3B80">
      <w:pPr>
        <w:ind w:left="720" w:hanging="720"/>
        <w:jc w:val="both"/>
        <w:rPr>
          <w:rFonts w:ascii="Arial" w:hAnsi="Arial" w:cs="Arial"/>
          <w:sz w:val="24"/>
          <w:szCs w:val="24"/>
        </w:rPr>
      </w:pPr>
      <w:r>
        <w:rPr>
          <w:rFonts w:ascii="Arial" w:hAnsi="Arial" w:cs="Arial"/>
          <w:sz w:val="24"/>
          <w:szCs w:val="24"/>
        </w:rPr>
        <w:t>13.2</w:t>
      </w:r>
      <w:r>
        <w:rPr>
          <w:rFonts w:ascii="Arial" w:hAnsi="Arial" w:cs="Arial"/>
          <w:sz w:val="24"/>
          <w:szCs w:val="24"/>
        </w:rPr>
        <w:tab/>
      </w:r>
      <w:r w:rsidRPr="008055B1">
        <w:rPr>
          <w:rFonts w:ascii="Arial" w:hAnsi="Arial" w:cs="Arial"/>
          <w:sz w:val="24"/>
          <w:szCs w:val="24"/>
        </w:rPr>
        <w:t>Once triggered, the right to aftercare is ongoing and remains in place irrespective of a person’s circumstances. Aftercare services must be provided until both CTMUHB and relevant LSSA are satisfied that the patient is no longer in need of such aftercare services.</w:t>
      </w:r>
    </w:p>
    <w:p w14:paraId="4662B5E3" w14:textId="77777777" w:rsidR="00CA3B80" w:rsidRPr="00CA3B80" w:rsidRDefault="00CA3B80" w:rsidP="00CA3B80">
      <w:pPr>
        <w:ind w:left="720" w:hanging="720"/>
        <w:jc w:val="both"/>
        <w:rPr>
          <w:rFonts w:ascii="Arial" w:hAnsi="Arial" w:cs="Arial"/>
          <w:sz w:val="24"/>
          <w:szCs w:val="24"/>
        </w:rPr>
      </w:pPr>
      <w:r>
        <w:rPr>
          <w:rFonts w:ascii="Arial" w:hAnsi="Arial" w:cs="Arial"/>
          <w:sz w:val="24"/>
          <w:szCs w:val="24"/>
        </w:rPr>
        <w:t>13.3</w:t>
      </w:r>
      <w:r>
        <w:rPr>
          <w:rFonts w:ascii="Arial" w:hAnsi="Arial" w:cs="Arial"/>
          <w:sz w:val="24"/>
          <w:szCs w:val="24"/>
        </w:rPr>
        <w:tab/>
      </w:r>
      <w:r w:rsidRPr="00CA3B80">
        <w:rPr>
          <w:rFonts w:ascii="Arial" w:hAnsi="Arial" w:cs="Arial"/>
          <w:sz w:val="24"/>
          <w:szCs w:val="24"/>
        </w:rPr>
        <w:t>Patients are not legally obliged to accept aftercare services offered but any decisions they make to decline services should be fully informed. A patient’s unwillingness to accept services does not mean they have no need for them; neither does it relieve the statutory agencies of their responsibility to offer aftercare.</w:t>
      </w:r>
    </w:p>
    <w:p w14:paraId="30F26A4E" w14:textId="77777777" w:rsidR="00CA3B80" w:rsidRPr="00CA3B80" w:rsidRDefault="00CA3B80" w:rsidP="00CA3B80">
      <w:pPr>
        <w:ind w:left="720" w:hanging="720"/>
        <w:jc w:val="both"/>
        <w:rPr>
          <w:rFonts w:ascii="Arial" w:hAnsi="Arial" w:cs="Arial"/>
          <w:sz w:val="24"/>
          <w:szCs w:val="24"/>
        </w:rPr>
      </w:pPr>
      <w:r>
        <w:rPr>
          <w:rFonts w:ascii="Arial" w:hAnsi="Arial" w:cs="Arial"/>
          <w:sz w:val="24"/>
          <w:szCs w:val="24"/>
        </w:rPr>
        <w:t>13.4</w:t>
      </w:r>
      <w:r>
        <w:rPr>
          <w:rFonts w:ascii="Arial" w:hAnsi="Arial" w:cs="Arial"/>
          <w:sz w:val="24"/>
          <w:szCs w:val="24"/>
        </w:rPr>
        <w:tab/>
      </w:r>
      <w:r w:rsidRPr="00CA3B80">
        <w:rPr>
          <w:rFonts w:ascii="Arial" w:hAnsi="Arial" w:cs="Arial"/>
          <w:sz w:val="24"/>
          <w:szCs w:val="24"/>
        </w:rPr>
        <w:t>When considering discharging a patient from S117 aftercare both authorities are required to jointly review the aftercare plan, even if the aftercare services are provided by a single authority. In practice, this is likely to be a decision made by the patient’s integrated multi-disciplinary team. There must be a joint formal statement of the agreement to discontinue after-care services, made by representatives of the LSSA and CTMUHB.</w:t>
      </w:r>
    </w:p>
    <w:p w14:paraId="569B229F" w14:textId="77777777" w:rsidR="00CA3B80" w:rsidRPr="00CA3B80" w:rsidRDefault="00CA3B80" w:rsidP="003170E9">
      <w:pPr>
        <w:ind w:left="720" w:hanging="720"/>
        <w:jc w:val="both"/>
        <w:rPr>
          <w:rFonts w:ascii="Arial" w:hAnsi="Arial" w:cs="Arial"/>
          <w:sz w:val="24"/>
          <w:szCs w:val="24"/>
        </w:rPr>
      </w:pPr>
      <w:r>
        <w:rPr>
          <w:rFonts w:ascii="Arial" w:hAnsi="Arial" w:cs="Arial"/>
          <w:sz w:val="24"/>
          <w:szCs w:val="24"/>
        </w:rPr>
        <w:t>13.5</w:t>
      </w:r>
      <w:r>
        <w:rPr>
          <w:rFonts w:ascii="Arial" w:hAnsi="Arial" w:cs="Arial"/>
          <w:sz w:val="24"/>
          <w:szCs w:val="24"/>
        </w:rPr>
        <w:tab/>
      </w:r>
      <w:r w:rsidRPr="00CA3B80">
        <w:rPr>
          <w:rFonts w:ascii="Arial" w:hAnsi="Arial" w:cs="Arial"/>
          <w:sz w:val="24"/>
          <w:szCs w:val="24"/>
        </w:rPr>
        <w:t>Decisions to discharge after care responsibilities should not be made solely on the basis of the reasons listed in Para. 6.17.</w:t>
      </w:r>
    </w:p>
    <w:p w14:paraId="6E6D0987" w14:textId="4C2900CE" w:rsidR="008055B1" w:rsidRDefault="00CA3B80" w:rsidP="00153670">
      <w:pPr>
        <w:ind w:left="720" w:hanging="720"/>
        <w:jc w:val="both"/>
        <w:rPr>
          <w:rFonts w:ascii="Arial" w:hAnsi="Arial" w:cs="Arial"/>
          <w:sz w:val="24"/>
          <w:szCs w:val="24"/>
        </w:rPr>
      </w:pPr>
      <w:r>
        <w:rPr>
          <w:rFonts w:ascii="Arial" w:hAnsi="Arial" w:cs="Arial"/>
          <w:sz w:val="24"/>
          <w:szCs w:val="24"/>
        </w:rPr>
        <w:t>13.6</w:t>
      </w:r>
      <w:r w:rsidR="00153670">
        <w:rPr>
          <w:rFonts w:ascii="Arial" w:hAnsi="Arial" w:cs="Arial"/>
          <w:sz w:val="24"/>
          <w:szCs w:val="24"/>
        </w:rPr>
        <w:tab/>
      </w:r>
      <w:r w:rsidR="00153670" w:rsidRPr="00153670">
        <w:rPr>
          <w:rFonts w:ascii="Arial" w:hAnsi="Arial" w:cs="Arial"/>
          <w:sz w:val="24"/>
          <w:szCs w:val="24"/>
        </w:rPr>
        <w:t>The ending of S117 aftercare does not necessarily mean discharge from health services, as services can continue to be provided under the Measure.</w:t>
      </w:r>
    </w:p>
    <w:p w14:paraId="10C08437" w14:textId="77777777" w:rsidR="009B6132" w:rsidRPr="009B6132" w:rsidRDefault="004721FE" w:rsidP="009B6132">
      <w:pPr>
        <w:ind w:left="720" w:hanging="720"/>
        <w:jc w:val="both"/>
        <w:rPr>
          <w:rFonts w:ascii="Arial" w:hAnsi="Arial" w:cs="Arial"/>
          <w:sz w:val="24"/>
          <w:szCs w:val="24"/>
        </w:rPr>
      </w:pPr>
      <w:r>
        <w:rPr>
          <w:rFonts w:ascii="Arial" w:hAnsi="Arial" w:cs="Arial"/>
          <w:sz w:val="24"/>
          <w:szCs w:val="24"/>
        </w:rPr>
        <w:t>13.7</w:t>
      </w:r>
      <w:r>
        <w:rPr>
          <w:rFonts w:ascii="Arial" w:hAnsi="Arial" w:cs="Arial"/>
          <w:sz w:val="24"/>
          <w:szCs w:val="24"/>
        </w:rPr>
        <w:tab/>
      </w:r>
      <w:r w:rsidR="009B6132" w:rsidRPr="009B6132">
        <w:rPr>
          <w:rFonts w:ascii="Arial" w:hAnsi="Arial" w:cs="Arial"/>
          <w:sz w:val="24"/>
          <w:szCs w:val="24"/>
        </w:rPr>
        <w:t>The decision to end S117 aftercare services must only be taken at a multi-disciplinary team meeting. The patient should be fully involved in the decision making process and their involvement recorded on the relevant form.</w:t>
      </w:r>
    </w:p>
    <w:p w14:paraId="5F7FCA55" w14:textId="77777777" w:rsidR="009B6132" w:rsidRPr="009B6132" w:rsidRDefault="009B6132" w:rsidP="009B6132">
      <w:pPr>
        <w:ind w:left="720" w:hanging="720"/>
        <w:jc w:val="both"/>
        <w:rPr>
          <w:rFonts w:ascii="Arial" w:hAnsi="Arial" w:cs="Arial"/>
          <w:sz w:val="24"/>
          <w:szCs w:val="24"/>
        </w:rPr>
      </w:pPr>
      <w:r>
        <w:rPr>
          <w:rFonts w:ascii="Arial" w:hAnsi="Arial" w:cs="Arial"/>
          <w:sz w:val="24"/>
          <w:szCs w:val="24"/>
        </w:rPr>
        <w:t>13.8</w:t>
      </w:r>
      <w:r>
        <w:rPr>
          <w:rFonts w:ascii="Arial" w:hAnsi="Arial" w:cs="Arial"/>
          <w:sz w:val="24"/>
          <w:szCs w:val="24"/>
        </w:rPr>
        <w:tab/>
      </w:r>
      <w:r w:rsidRPr="009B6132">
        <w:rPr>
          <w:rFonts w:ascii="Arial" w:hAnsi="Arial" w:cs="Arial"/>
          <w:sz w:val="24"/>
          <w:szCs w:val="24"/>
        </w:rPr>
        <w:t>In the event that a patient disengages with Mental Health Services but remains eligible to S117 aftercare, attempts should be made to invite the patient to a review meeting. If the patient does not attend this, a review meeting between Health and Local Authority representatives must be held to facilitate a clinical decision whether the entitlement to aftercare should continue. This review should evidence where able that efforts have been taken to ascertain the person's current mental state along with any identified needs, also whether the opinions of their family and GP have been sought where appropriate. In the absence of any information being available, the decision to close to S117 aftercare should then be based on clinical decision making and risk analysis.</w:t>
      </w:r>
    </w:p>
    <w:p w14:paraId="4B5E81B2" w14:textId="6E1380BC" w:rsidR="006A3570" w:rsidRDefault="006A3570" w:rsidP="006A3570">
      <w:pPr>
        <w:ind w:left="720" w:hanging="720"/>
        <w:jc w:val="both"/>
        <w:rPr>
          <w:rFonts w:ascii="Arial" w:hAnsi="Arial" w:cs="Arial"/>
          <w:sz w:val="24"/>
          <w:szCs w:val="24"/>
        </w:rPr>
      </w:pPr>
      <w:r>
        <w:rPr>
          <w:rFonts w:ascii="Arial" w:hAnsi="Arial" w:cs="Arial"/>
          <w:sz w:val="24"/>
          <w:szCs w:val="24"/>
        </w:rPr>
        <w:t>13.9</w:t>
      </w:r>
      <w:r>
        <w:rPr>
          <w:rFonts w:ascii="Arial" w:hAnsi="Arial" w:cs="Arial"/>
          <w:sz w:val="24"/>
          <w:szCs w:val="24"/>
        </w:rPr>
        <w:tab/>
      </w:r>
      <w:r w:rsidRPr="006A3570">
        <w:rPr>
          <w:rFonts w:ascii="Arial" w:hAnsi="Arial" w:cs="Arial"/>
          <w:sz w:val="24"/>
          <w:szCs w:val="24"/>
        </w:rPr>
        <w:t xml:space="preserve">The rationale behind the decision to discharge from S117 must be clearly recorded in the patient’s record giving reasons </w:t>
      </w:r>
      <w:r w:rsidRPr="006A3570">
        <w:rPr>
          <w:rFonts w:ascii="Arial" w:hAnsi="Arial" w:cs="Arial"/>
          <w:sz w:val="24"/>
          <w:szCs w:val="24"/>
        </w:rPr>
        <w:tab/>
        <w:t>as well as details of who was involved in the decision making.</w:t>
      </w:r>
    </w:p>
    <w:p w14:paraId="740F069E" w14:textId="01358BF3" w:rsidR="007F3CA3" w:rsidRPr="006A3570" w:rsidRDefault="007F3CA3" w:rsidP="007F3CA3">
      <w:pPr>
        <w:ind w:left="720" w:hanging="720"/>
        <w:jc w:val="both"/>
        <w:rPr>
          <w:rFonts w:ascii="Arial" w:hAnsi="Arial" w:cs="Arial"/>
          <w:sz w:val="24"/>
          <w:szCs w:val="24"/>
        </w:rPr>
      </w:pPr>
      <w:r>
        <w:rPr>
          <w:rFonts w:ascii="Arial" w:hAnsi="Arial" w:cs="Arial"/>
          <w:sz w:val="24"/>
          <w:szCs w:val="24"/>
        </w:rPr>
        <w:lastRenderedPageBreak/>
        <w:t>13.10</w:t>
      </w:r>
      <w:r>
        <w:rPr>
          <w:rFonts w:ascii="Arial" w:hAnsi="Arial" w:cs="Arial"/>
          <w:sz w:val="24"/>
          <w:szCs w:val="24"/>
        </w:rPr>
        <w:tab/>
      </w:r>
      <w:r w:rsidRPr="007F3CA3">
        <w:rPr>
          <w:rFonts w:ascii="Arial" w:hAnsi="Arial" w:cs="Arial"/>
          <w:sz w:val="24"/>
          <w:szCs w:val="24"/>
        </w:rPr>
        <w:t>Discharge from S117 must be recorded in patient’s case notes, on FACE if applicable, the “Termination of Section 117 Aftercare” proforma, and the 117 register must also be updated.</w:t>
      </w:r>
    </w:p>
    <w:p w14:paraId="74234E2D" w14:textId="091C536C" w:rsidR="00BA6A3F" w:rsidRPr="00BA6A3F" w:rsidRDefault="00BA6A3F" w:rsidP="00BA6A3F">
      <w:pPr>
        <w:ind w:left="720" w:hanging="720"/>
        <w:jc w:val="both"/>
        <w:rPr>
          <w:rFonts w:ascii="Arial" w:hAnsi="Arial" w:cs="Arial"/>
          <w:sz w:val="24"/>
          <w:szCs w:val="24"/>
        </w:rPr>
      </w:pPr>
      <w:r>
        <w:rPr>
          <w:rFonts w:ascii="Arial" w:hAnsi="Arial" w:cs="Arial"/>
          <w:sz w:val="24"/>
          <w:szCs w:val="24"/>
        </w:rPr>
        <w:t>13.11</w:t>
      </w:r>
      <w:r>
        <w:rPr>
          <w:rFonts w:ascii="Arial" w:hAnsi="Arial" w:cs="Arial"/>
          <w:sz w:val="24"/>
          <w:szCs w:val="24"/>
        </w:rPr>
        <w:tab/>
      </w:r>
      <w:r w:rsidRPr="00BA6A3F">
        <w:rPr>
          <w:rFonts w:ascii="Arial" w:hAnsi="Arial" w:cs="Arial"/>
          <w:sz w:val="24"/>
          <w:szCs w:val="24"/>
        </w:rPr>
        <w:t xml:space="preserve">If S117 after-care ends, it cannot be reinstated if the patient becomes in need of further mental health services. The patient can only receive further S117 services if they are readmitted to </w:t>
      </w:r>
      <w:r w:rsidRPr="00BA6A3F">
        <w:rPr>
          <w:rFonts w:ascii="Arial" w:hAnsi="Arial" w:cs="Arial"/>
          <w:sz w:val="24"/>
          <w:szCs w:val="24"/>
        </w:rPr>
        <w:tab/>
        <w:t>hospital under a qualifying section.  If a patient who is receiving S117 aftercare chooses to move to another location, in these circumstances CTMUHB and LSSA can commission services in that new area and negotiate with the UHB and LSSA from that area to transfer responsibility.  If the patient moves and is subsequently detained again in the new area then the S117 would then be the UHB and LSSA for the area in which the patient was ordinarily resident.</w:t>
      </w:r>
    </w:p>
    <w:p w14:paraId="3F3837B1" w14:textId="30DFE645" w:rsidR="00153670" w:rsidRPr="00413418" w:rsidRDefault="007A2E07" w:rsidP="001F03E1">
      <w:pPr>
        <w:pStyle w:val="Heading1"/>
        <w:rPr>
          <w:rFonts w:ascii="Arial" w:hAnsi="Arial" w:cs="Arial"/>
          <w:b/>
          <w:bCs/>
          <w:sz w:val="28"/>
          <w:szCs w:val="28"/>
        </w:rPr>
      </w:pPr>
      <w:bookmarkStart w:id="14" w:name="_Toc134786635"/>
      <w:r w:rsidRPr="00413418">
        <w:rPr>
          <w:rFonts w:ascii="Arial" w:hAnsi="Arial" w:cs="Arial"/>
          <w:b/>
          <w:bCs/>
          <w:sz w:val="28"/>
          <w:szCs w:val="28"/>
        </w:rPr>
        <w:t>14.</w:t>
      </w:r>
      <w:r w:rsidRPr="00413418">
        <w:rPr>
          <w:rFonts w:ascii="Arial" w:hAnsi="Arial" w:cs="Arial"/>
          <w:b/>
          <w:bCs/>
          <w:sz w:val="28"/>
          <w:szCs w:val="28"/>
        </w:rPr>
        <w:tab/>
        <w:t>Training Implications</w:t>
      </w:r>
      <w:bookmarkEnd w:id="14"/>
    </w:p>
    <w:p w14:paraId="5494E8DB" w14:textId="5440D7D0" w:rsidR="00E446BE" w:rsidRPr="00E446BE" w:rsidRDefault="00153670" w:rsidP="00AD7269">
      <w:pPr>
        <w:rPr>
          <w:rFonts w:ascii="Arial" w:hAnsi="Arial" w:cs="Arial"/>
        </w:rPr>
      </w:pPr>
      <w:r>
        <w:tab/>
      </w:r>
    </w:p>
    <w:p w14:paraId="10A49BCF" w14:textId="696AE210" w:rsidR="003C598F" w:rsidRDefault="00811788" w:rsidP="005578DF">
      <w:pPr>
        <w:ind w:left="720" w:hanging="720"/>
        <w:jc w:val="both"/>
        <w:rPr>
          <w:rFonts w:ascii="Arial" w:hAnsi="Arial" w:cs="Arial"/>
          <w:sz w:val="24"/>
          <w:szCs w:val="24"/>
        </w:rPr>
      </w:pPr>
      <w:r>
        <w:rPr>
          <w:rFonts w:ascii="Arial" w:hAnsi="Arial" w:cs="Arial"/>
          <w:sz w:val="24"/>
          <w:szCs w:val="24"/>
        </w:rPr>
        <w:t>14.1</w:t>
      </w:r>
      <w:r>
        <w:rPr>
          <w:rFonts w:ascii="Arial" w:hAnsi="Arial" w:cs="Arial"/>
          <w:sz w:val="24"/>
          <w:szCs w:val="24"/>
        </w:rPr>
        <w:tab/>
      </w:r>
      <w:r w:rsidR="005578DF" w:rsidRPr="005578DF">
        <w:rPr>
          <w:rFonts w:ascii="Arial" w:hAnsi="Arial" w:cs="Arial"/>
          <w:b/>
          <w:sz w:val="24"/>
          <w:szCs w:val="24"/>
        </w:rPr>
        <w:t>Review -</w:t>
      </w:r>
      <w:r w:rsidR="005578DF" w:rsidRPr="005578DF">
        <w:rPr>
          <w:rFonts w:ascii="Arial" w:hAnsi="Arial" w:cs="Arial"/>
          <w:sz w:val="24"/>
          <w:szCs w:val="24"/>
        </w:rPr>
        <w:t xml:space="preserve"> These guidelines will be reviewed regularly, at least every 12 months.</w:t>
      </w:r>
    </w:p>
    <w:p w14:paraId="7FC0A279" w14:textId="7A751DAD" w:rsidR="005578DF" w:rsidRPr="000E17AE" w:rsidRDefault="005578DF" w:rsidP="00FD6FF4">
      <w:pPr>
        <w:ind w:left="720" w:hanging="720"/>
        <w:jc w:val="both"/>
        <w:rPr>
          <w:rFonts w:ascii="Arial" w:hAnsi="Arial" w:cs="Arial"/>
          <w:sz w:val="24"/>
          <w:szCs w:val="24"/>
        </w:rPr>
      </w:pPr>
      <w:r>
        <w:rPr>
          <w:rFonts w:ascii="Arial" w:hAnsi="Arial" w:cs="Arial"/>
          <w:sz w:val="24"/>
          <w:szCs w:val="24"/>
        </w:rPr>
        <w:t>14.2</w:t>
      </w:r>
      <w:r>
        <w:rPr>
          <w:rFonts w:ascii="Arial" w:hAnsi="Arial" w:cs="Arial"/>
          <w:sz w:val="24"/>
          <w:szCs w:val="24"/>
        </w:rPr>
        <w:tab/>
      </w:r>
      <w:r w:rsidR="00FD6FF4" w:rsidRPr="00FD6FF4">
        <w:rPr>
          <w:rFonts w:ascii="Arial" w:hAnsi="Arial" w:cs="Arial"/>
          <w:b/>
          <w:sz w:val="24"/>
          <w:szCs w:val="24"/>
        </w:rPr>
        <w:t>Monitoring -</w:t>
      </w:r>
      <w:r w:rsidR="00FD6FF4" w:rsidRPr="00FD6FF4">
        <w:rPr>
          <w:rFonts w:ascii="Arial" w:hAnsi="Arial" w:cs="Arial"/>
          <w:sz w:val="24"/>
          <w:szCs w:val="24"/>
        </w:rPr>
        <w:t xml:space="preserve"> The S117 register will be maintained by </w:t>
      </w:r>
      <w:r w:rsidR="00FD6FF4" w:rsidRPr="00FD6FF4">
        <w:rPr>
          <w:rFonts w:ascii="Arial" w:hAnsi="Arial" w:cs="Arial"/>
          <w:sz w:val="24"/>
          <w:szCs w:val="24"/>
        </w:rPr>
        <w:tab/>
        <w:t xml:space="preserve">the nominated Team Administrator (CMHT) in the Community setting. The MHA team will notify the relevant Team Administrator upon discharge from Hospital.  The S117 process will be monitored for effectiveness by the Mental Health Act </w:t>
      </w:r>
      <w:r w:rsidR="004B3122">
        <w:rPr>
          <w:rFonts w:ascii="Arial" w:hAnsi="Arial" w:cs="Arial"/>
          <w:sz w:val="24"/>
          <w:szCs w:val="24"/>
        </w:rPr>
        <w:t xml:space="preserve">(MHA) </w:t>
      </w:r>
      <w:r w:rsidR="00FD6FF4" w:rsidRPr="00FD6FF4">
        <w:rPr>
          <w:rFonts w:ascii="Arial" w:hAnsi="Arial" w:cs="Arial"/>
          <w:sz w:val="24"/>
          <w:szCs w:val="24"/>
        </w:rPr>
        <w:t>Operational Group.</w:t>
      </w:r>
    </w:p>
    <w:p w14:paraId="615AC7AE" w14:textId="1B38CE3B" w:rsidR="00FE57FC" w:rsidRPr="00413418" w:rsidRDefault="00413418" w:rsidP="00413418">
      <w:pPr>
        <w:pStyle w:val="Heading1"/>
        <w:rPr>
          <w:rFonts w:ascii="Arial" w:hAnsi="Arial" w:cs="Arial"/>
          <w:b/>
          <w:bCs/>
          <w:sz w:val="28"/>
          <w:szCs w:val="28"/>
        </w:rPr>
      </w:pPr>
      <w:bookmarkStart w:id="15" w:name="_Toc134786636"/>
      <w:r w:rsidRPr="00413418">
        <w:rPr>
          <w:rFonts w:ascii="Arial" w:hAnsi="Arial" w:cs="Arial"/>
          <w:b/>
          <w:bCs/>
          <w:sz w:val="28"/>
          <w:szCs w:val="28"/>
        </w:rPr>
        <w:t>15.</w:t>
      </w:r>
      <w:r w:rsidRPr="00413418">
        <w:rPr>
          <w:rFonts w:ascii="Arial" w:hAnsi="Arial" w:cs="Arial"/>
          <w:b/>
          <w:bCs/>
          <w:sz w:val="28"/>
          <w:szCs w:val="28"/>
        </w:rPr>
        <w:tab/>
        <w:t>Audit</w:t>
      </w:r>
      <w:bookmarkEnd w:id="15"/>
    </w:p>
    <w:p w14:paraId="2D921C65" w14:textId="77777777" w:rsidR="00FE57FC" w:rsidRDefault="00FE57FC" w:rsidP="00413418">
      <w:pPr>
        <w:rPr>
          <w:rFonts w:ascii="Arial" w:hAnsi="Arial" w:cs="Arial"/>
          <w:sz w:val="24"/>
          <w:szCs w:val="20"/>
        </w:rPr>
      </w:pPr>
    </w:p>
    <w:p w14:paraId="1DE19755" w14:textId="2C87B326" w:rsidR="003807E5" w:rsidRPr="003807E5" w:rsidRDefault="00800ECF" w:rsidP="003807E5">
      <w:pPr>
        <w:ind w:left="720" w:hanging="720"/>
        <w:rPr>
          <w:rFonts w:ascii="Arial" w:hAnsi="Arial" w:cs="Arial"/>
          <w:sz w:val="24"/>
          <w:szCs w:val="20"/>
        </w:rPr>
      </w:pPr>
      <w:r>
        <w:rPr>
          <w:rFonts w:ascii="Arial" w:hAnsi="Arial" w:cs="Arial"/>
          <w:sz w:val="24"/>
          <w:szCs w:val="20"/>
        </w:rPr>
        <w:t>15.1</w:t>
      </w:r>
      <w:r>
        <w:rPr>
          <w:rFonts w:ascii="Arial" w:hAnsi="Arial" w:cs="Arial"/>
          <w:sz w:val="24"/>
          <w:szCs w:val="20"/>
        </w:rPr>
        <w:tab/>
      </w:r>
      <w:r w:rsidR="003807E5" w:rsidRPr="003807E5">
        <w:rPr>
          <w:rFonts w:ascii="Arial" w:hAnsi="Arial" w:cs="Arial"/>
          <w:sz w:val="24"/>
          <w:szCs w:val="20"/>
        </w:rPr>
        <w:t>Implementation of these guidelines will be audited on a yearly basis as part of the MHA Operational Group.</w:t>
      </w:r>
    </w:p>
    <w:p w14:paraId="7C690B67" w14:textId="36634356" w:rsidR="00800ECF" w:rsidRPr="003807E5" w:rsidRDefault="003807E5" w:rsidP="003807E5">
      <w:pPr>
        <w:pStyle w:val="Heading1"/>
        <w:rPr>
          <w:rFonts w:ascii="Arial" w:hAnsi="Arial" w:cs="Arial"/>
          <w:b/>
          <w:bCs/>
          <w:sz w:val="28"/>
          <w:szCs w:val="28"/>
        </w:rPr>
      </w:pPr>
      <w:bookmarkStart w:id="16" w:name="_Toc134786637"/>
      <w:r w:rsidRPr="003807E5">
        <w:rPr>
          <w:rFonts w:ascii="Arial" w:hAnsi="Arial" w:cs="Arial"/>
          <w:b/>
          <w:bCs/>
          <w:sz w:val="28"/>
          <w:szCs w:val="28"/>
        </w:rPr>
        <w:t>16.</w:t>
      </w:r>
      <w:r w:rsidRPr="003807E5">
        <w:rPr>
          <w:rFonts w:ascii="Arial" w:hAnsi="Arial" w:cs="Arial"/>
          <w:b/>
          <w:bCs/>
          <w:sz w:val="28"/>
          <w:szCs w:val="28"/>
        </w:rPr>
        <w:tab/>
        <w:t>Retention/Archiving</w:t>
      </w:r>
      <w:bookmarkEnd w:id="16"/>
    </w:p>
    <w:p w14:paraId="260C3B99" w14:textId="77777777" w:rsidR="00FE57FC" w:rsidRDefault="00FE57FC" w:rsidP="003807E5">
      <w:pPr>
        <w:rPr>
          <w:rFonts w:ascii="Arial" w:hAnsi="Arial" w:cs="Arial"/>
          <w:sz w:val="24"/>
          <w:szCs w:val="20"/>
        </w:rPr>
      </w:pPr>
    </w:p>
    <w:p w14:paraId="1B359384" w14:textId="77777777" w:rsidR="007930E6" w:rsidRPr="007930E6" w:rsidRDefault="003807E5" w:rsidP="007930E6">
      <w:pPr>
        <w:ind w:left="720" w:hanging="720"/>
        <w:rPr>
          <w:rFonts w:ascii="Arial" w:hAnsi="Arial" w:cs="Arial"/>
          <w:sz w:val="24"/>
          <w:szCs w:val="20"/>
          <w:lang w:val="en-US"/>
        </w:rPr>
      </w:pPr>
      <w:r>
        <w:rPr>
          <w:rFonts w:ascii="Arial" w:hAnsi="Arial" w:cs="Arial"/>
          <w:sz w:val="24"/>
          <w:szCs w:val="20"/>
        </w:rPr>
        <w:t>16.1</w:t>
      </w:r>
      <w:r>
        <w:rPr>
          <w:rFonts w:ascii="Arial" w:hAnsi="Arial" w:cs="Arial"/>
          <w:sz w:val="24"/>
          <w:szCs w:val="20"/>
        </w:rPr>
        <w:tab/>
      </w:r>
      <w:r w:rsidR="007930E6" w:rsidRPr="007930E6">
        <w:rPr>
          <w:rFonts w:ascii="Arial" w:hAnsi="Arial" w:cs="Arial"/>
          <w:sz w:val="24"/>
          <w:szCs w:val="20"/>
          <w:lang w:val="en-US"/>
        </w:rPr>
        <w:t>This policy will be available via CTMUHB SharePoint / intranet. The Directorate will retain all previous versions of this policy for future reference. This policy will be version controlled.</w:t>
      </w:r>
    </w:p>
    <w:p w14:paraId="39ABE4C4" w14:textId="2A2B5E04" w:rsidR="003807E5" w:rsidRPr="0083558F" w:rsidRDefault="0083558F" w:rsidP="0083558F">
      <w:pPr>
        <w:pStyle w:val="Heading1"/>
        <w:rPr>
          <w:rFonts w:ascii="Arial" w:hAnsi="Arial" w:cs="Arial"/>
          <w:b/>
          <w:bCs/>
          <w:sz w:val="28"/>
          <w:szCs w:val="28"/>
        </w:rPr>
      </w:pPr>
      <w:bookmarkStart w:id="17" w:name="_Toc134786638"/>
      <w:r w:rsidRPr="0083558F">
        <w:rPr>
          <w:rFonts w:ascii="Arial" w:hAnsi="Arial" w:cs="Arial"/>
          <w:b/>
          <w:bCs/>
          <w:sz w:val="28"/>
          <w:szCs w:val="28"/>
        </w:rPr>
        <w:t>17.</w:t>
      </w:r>
      <w:r w:rsidRPr="0083558F">
        <w:rPr>
          <w:rFonts w:ascii="Arial" w:hAnsi="Arial" w:cs="Arial"/>
          <w:b/>
          <w:bCs/>
          <w:sz w:val="28"/>
          <w:szCs w:val="28"/>
        </w:rPr>
        <w:tab/>
        <w:t>Non-Conformance</w:t>
      </w:r>
      <w:bookmarkEnd w:id="17"/>
    </w:p>
    <w:p w14:paraId="2FAAED7D" w14:textId="77777777" w:rsidR="0083558F" w:rsidRDefault="0083558F" w:rsidP="0083558F"/>
    <w:p w14:paraId="2BCE15C6" w14:textId="737E1F16" w:rsidR="00144842" w:rsidRPr="007D4EC8" w:rsidRDefault="00144842" w:rsidP="00144842">
      <w:pPr>
        <w:ind w:left="720" w:hanging="720"/>
        <w:rPr>
          <w:rFonts w:ascii="Arial" w:hAnsi="Arial" w:cs="Arial"/>
          <w:b/>
          <w:bCs/>
          <w:sz w:val="28"/>
          <w:szCs w:val="28"/>
        </w:rPr>
      </w:pPr>
      <w:r w:rsidRPr="00144842">
        <w:rPr>
          <w:rFonts w:ascii="Arial" w:hAnsi="Arial" w:cs="Arial"/>
          <w:sz w:val="24"/>
          <w:szCs w:val="24"/>
        </w:rPr>
        <w:t>17.1</w:t>
      </w:r>
      <w:r>
        <w:rPr>
          <w:rFonts w:ascii="Arial" w:hAnsi="Arial" w:cs="Arial"/>
          <w:sz w:val="24"/>
          <w:szCs w:val="24"/>
        </w:rPr>
        <w:tab/>
      </w:r>
      <w:r w:rsidRPr="00144842">
        <w:rPr>
          <w:rFonts w:ascii="Arial" w:hAnsi="Arial" w:cs="Arial"/>
          <w:sz w:val="24"/>
          <w:szCs w:val="24"/>
        </w:rPr>
        <w:t>Conformance with this policy will be monitored on a regular basis; non-</w:t>
      </w:r>
      <w:r w:rsidRPr="007D4EC8">
        <w:rPr>
          <w:rFonts w:ascii="Arial" w:hAnsi="Arial" w:cs="Arial"/>
          <w:sz w:val="24"/>
          <w:szCs w:val="24"/>
        </w:rPr>
        <w:t>conformance may be subject to an investigation.</w:t>
      </w:r>
    </w:p>
    <w:p w14:paraId="7760BE6F" w14:textId="44269E3F" w:rsidR="00144842" w:rsidRPr="007D4EC8" w:rsidRDefault="00754190" w:rsidP="00754190">
      <w:pPr>
        <w:pStyle w:val="Heading1"/>
        <w:rPr>
          <w:rFonts w:ascii="Arial" w:hAnsi="Arial" w:cs="Arial"/>
          <w:b/>
          <w:bCs/>
          <w:sz w:val="28"/>
          <w:szCs w:val="28"/>
        </w:rPr>
      </w:pPr>
      <w:bookmarkStart w:id="18" w:name="_Toc134786639"/>
      <w:r w:rsidRPr="007D4EC8">
        <w:rPr>
          <w:rFonts w:ascii="Arial" w:hAnsi="Arial" w:cs="Arial"/>
          <w:b/>
          <w:bCs/>
          <w:sz w:val="28"/>
          <w:szCs w:val="28"/>
        </w:rPr>
        <w:t>18.</w:t>
      </w:r>
      <w:r w:rsidRPr="007D4EC8">
        <w:rPr>
          <w:rFonts w:ascii="Arial" w:hAnsi="Arial" w:cs="Arial"/>
          <w:b/>
          <w:bCs/>
          <w:sz w:val="28"/>
          <w:szCs w:val="28"/>
        </w:rPr>
        <w:tab/>
      </w:r>
      <w:r w:rsidR="004213B1">
        <w:rPr>
          <w:rFonts w:ascii="Arial" w:hAnsi="Arial" w:cs="Arial"/>
          <w:b/>
          <w:bCs/>
          <w:sz w:val="28"/>
          <w:szCs w:val="28"/>
        </w:rPr>
        <w:t>References</w:t>
      </w:r>
      <w:bookmarkEnd w:id="18"/>
    </w:p>
    <w:p w14:paraId="167EA310" w14:textId="77777777" w:rsidR="0083558F" w:rsidRPr="0083558F" w:rsidRDefault="0083558F" w:rsidP="0083558F">
      <w:pPr>
        <w:rPr>
          <w:rFonts w:ascii="Arial" w:hAnsi="Arial" w:cs="Arial"/>
          <w:sz w:val="24"/>
          <w:szCs w:val="24"/>
        </w:rPr>
      </w:pPr>
    </w:p>
    <w:p w14:paraId="4BE73D12" w14:textId="77777777" w:rsidR="008A77D2" w:rsidRPr="008A77D2" w:rsidRDefault="007D4EC8" w:rsidP="008A77D2">
      <w:pPr>
        <w:rPr>
          <w:rFonts w:ascii="Arial" w:hAnsi="Arial" w:cs="Arial"/>
          <w:sz w:val="24"/>
          <w:szCs w:val="20"/>
        </w:rPr>
      </w:pPr>
      <w:r>
        <w:rPr>
          <w:rFonts w:ascii="Arial" w:hAnsi="Arial" w:cs="Arial"/>
          <w:sz w:val="24"/>
          <w:szCs w:val="20"/>
        </w:rPr>
        <w:t>18.1</w:t>
      </w:r>
      <w:r w:rsidR="004213B1">
        <w:rPr>
          <w:rFonts w:ascii="Arial" w:hAnsi="Arial" w:cs="Arial"/>
          <w:sz w:val="24"/>
          <w:szCs w:val="20"/>
        </w:rPr>
        <w:tab/>
      </w:r>
      <w:r w:rsidR="008A77D2" w:rsidRPr="008A77D2">
        <w:rPr>
          <w:rFonts w:ascii="Arial" w:hAnsi="Arial" w:cs="Arial"/>
          <w:sz w:val="24"/>
          <w:szCs w:val="20"/>
        </w:rPr>
        <w:t>All staff will work in accordance with:</w:t>
      </w:r>
    </w:p>
    <w:p w14:paraId="011EB7B4" w14:textId="77777777" w:rsidR="008A77D2" w:rsidRPr="008A77D2" w:rsidRDefault="008A77D2" w:rsidP="008A77D2">
      <w:pPr>
        <w:rPr>
          <w:rFonts w:ascii="Arial" w:hAnsi="Arial" w:cs="Arial"/>
          <w:sz w:val="24"/>
          <w:szCs w:val="20"/>
        </w:rPr>
      </w:pPr>
    </w:p>
    <w:p w14:paraId="127A37E7" w14:textId="77777777" w:rsidR="008A77D2" w:rsidRPr="008A77D2" w:rsidRDefault="008A77D2" w:rsidP="008A77D2">
      <w:pPr>
        <w:numPr>
          <w:ilvl w:val="0"/>
          <w:numId w:val="14"/>
        </w:numPr>
        <w:ind w:left="1134" w:hanging="440"/>
        <w:rPr>
          <w:rFonts w:ascii="Arial" w:hAnsi="Arial" w:cs="Arial"/>
          <w:sz w:val="24"/>
          <w:szCs w:val="20"/>
        </w:rPr>
      </w:pPr>
      <w:r w:rsidRPr="008A77D2">
        <w:rPr>
          <w:rFonts w:ascii="Arial" w:hAnsi="Arial" w:cs="Arial"/>
          <w:sz w:val="24"/>
          <w:szCs w:val="20"/>
        </w:rPr>
        <w:t xml:space="preserve">Mental Health Act 1983 - </w:t>
      </w:r>
      <w:hyperlink r:id="rId16" w:history="1">
        <w:r w:rsidRPr="008A77D2">
          <w:rPr>
            <w:rStyle w:val="Hyperlink"/>
            <w:rFonts w:ascii="Arial" w:hAnsi="Arial" w:cs="Arial"/>
            <w:sz w:val="24"/>
            <w:szCs w:val="20"/>
          </w:rPr>
          <w:t>www.legislation.gov.uk/ukpga/1983/20/contents</w:t>
        </w:r>
      </w:hyperlink>
    </w:p>
    <w:p w14:paraId="75BF65A5" w14:textId="77777777" w:rsidR="008A77D2" w:rsidRPr="008A77D2" w:rsidRDefault="008A77D2" w:rsidP="008A77D2">
      <w:pPr>
        <w:numPr>
          <w:ilvl w:val="0"/>
          <w:numId w:val="14"/>
        </w:numPr>
        <w:ind w:left="1134" w:hanging="440"/>
        <w:rPr>
          <w:rFonts w:ascii="Arial" w:hAnsi="Arial" w:cs="Arial"/>
          <w:sz w:val="24"/>
          <w:szCs w:val="20"/>
        </w:rPr>
      </w:pPr>
      <w:r w:rsidRPr="008A77D2">
        <w:rPr>
          <w:rFonts w:ascii="Arial" w:hAnsi="Arial" w:cs="Arial"/>
          <w:sz w:val="24"/>
          <w:szCs w:val="20"/>
        </w:rPr>
        <w:t>Mental Capacity Act 2005 -</w:t>
      </w:r>
      <w:hyperlink r:id="rId17" w:history="1">
        <w:r w:rsidRPr="008A77D2">
          <w:rPr>
            <w:rStyle w:val="Hyperlink"/>
            <w:rFonts w:ascii="Arial" w:hAnsi="Arial" w:cs="Arial"/>
            <w:sz w:val="24"/>
            <w:szCs w:val="20"/>
          </w:rPr>
          <w:t>www.legislation.gov.uk/ukpga/2005/9/schedule/7</w:t>
        </w:r>
      </w:hyperlink>
    </w:p>
    <w:p w14:paraId="4AAB5048" w14:textId="77777777" w:rsidR="008A77D2" w:rsidRPr="008A77D2" w:rsidRDefault="008A77D2" w:rsidP="008A77D2">
      <w:pPr>
        <w:numPr>
          <w:ilvl w:val="0"/>
          <w:numId w:val="14"/>
        </w:numPr>
        <w:ind w:left="1134" w:hanging="440"/>
        <w:rPr>
          <w:rFonts w:ascii="Arial" w:hAnsi="Arial" w:cs="Arial"/>
          <w:sz w:val="24"/>
          <w:szCs w:val="20"/>
        </w:rPr>
      </w:pPr>
      <w:r w:rsidRPr="008A77D2">
        <w:rPr>
          <w:rFonts w:ascii="Arial" w:hAnsi="Arial" w:cs="Arial"/>
          <w:sz w:val="24"/>
          <w:szCs w:val="20"/>
        </w:rPr>
        <w:t xml:space="preserve">Human Rights Act 1998 - </w:t>
      </w:r>
      <w:hyperlink r:id="rId18" w:history="1">
        <w:r w:rsidRPr="008A77D2">
          <w:rPr>
            <w:rStyle w:val="Hyperlink"/>
            <w:rFonts w:ascii="Arial" w:hAnsi="Arial" w:cs="Arial"/>
            <w:sz w:val="24"/>
            <w:szCs w:val="20"/>
          </w:rPr>
          <w:t>www.legislation.gov.uk/ukpga/1998/42/contents</w:t>
        </w:r>
      </w:hyperlink>
    </w:p>
    <w:p w14:paraId="2933BA97" w14:textId="77777777" w:rsidR="008A77D2" w:rsidRPr="008A77D2" w:rsidRDefault="008A77D2" w:rsidP="008A77D2">
      <w:pPr>
        <w:numPr>
          <w:ilvl w:val="0"/>
          <w:numId w:val="14"/>
        </w:numPr>
        <w:ind w:left="1134" w:hanging="440"/>
        <w:rPr>
          <w:rFonts w:ascii="Arial" w:hAnsi="Arial" w:cs="Arial"/>
          <w:sz w:val="24"/>
          <w:szCs w:val="20"/>
        </w:rPr>
      </w:pPr>
      <w:r w:rsidRPr="008A77D2">
        <w:rPr>
          <w:rFonts w:ascii="Arial" w:hAnsi="Arial" w:cs="Arial"/>
          <w:sz w:val="24"/>
          <w:szCs w:val="20"/>
        </w:rPr>
        <w:t>Mental Health Wales Measure (2010) -</w:t>
      </w:r>
      <w:hyperlink r:id="rId19" w:history="1">
        <w:r w:rsidRPr="008A77D2">
          <w:rPr>
            <w:rStyle w:val="Hyperlink"/>
            <w:rFonts w:ascii="Arial" w:hAnsi="Arial" w:cs="Arial"/>
            <w:sz w:val="24"/>
            <w:szCs w:val="20"/>
          </w:rPr>
          <w:t>https://www.legislation.gov.uk/mwa/2010/7/contents</w:t>
        </w:r>
      </w:hyperlink>
    </w:p>
    <w:p w14:paraId="408A03EE" w14:textId="77777777" w:rsidR="008A77D2" w:rsidRPr="008A77D2" w:rsidRDefault="008A77D2" w:rsidP="008A77D2">
      <w:pPr>
        <w:numPr>
          <w:ilvl w:val="0"/>
          <w:numId w:val="14"/>
        </w:numPr>
        <w:ind w:left="1134" w:hanging="440"/>
        <w:rPr>
          <w:rFonts w:ascii="Arial" w:hAnsi="Arial" w:cs="Arial"/>
          <w:sz w:val="24"/>
          <w:szCs w:val="20"/>
        </w:rPr>
      </w:pPr>
      <w:r w:rsidRPr="008A77D2">
        <w:rPr>
          <w:rFonts w:ascii="Arial" w:hAnsi="Arial" w:cs="Arial"/>
          <w:sz w:val="24"/>
          <w:szCs w:val="20"/>
        </w:rPr>
        <w:t>Mental Health (Hospital, Guardianship, Community Treatment and Consent to Treatment) (Wales) Regulations 2008 -</w:t>
      </w:r>
    </w:p>
    <w:p w14:paraId="09C58978" w14:textId="173B34BD" w:rsidR="008A77D2" w:rsidRPr="008A77D2" w:rsidRDefault="00F113F1" w:rsidP="008A77D2">
      <w:pPr>
        <w:ind w:left="1134"/>
        <w:rPr>
          <w:rFonts w:ascii="Arial" w:hAnsi="Arial" w:cs="Arial"/>
          <w:sz w:val="24"/>
          <w:szCs w:val="20"/>
        </w:rPr>
      </w:pPr>
      <w:hyperlink r:id="rId20" w:history="1">
        <w:r w:rsidR="008A77D2" w:rsidRPr="008A77D2">
          <w:rPr>
            <w:rStyle w:val="Hyperlink"/>
            <w:rFonts w:ascii="Arial" w:hAnsi="Arial" w:cs="Arial"/>
            <w:sz w:val="24"/>
            <w:szCs w:val="20"/>
          </w:rPr>
          <w:t>https://www.legislation.gov.uk/wsi/2008/2439/contents/made</w:t>
        </w:r>
      </w:hyperlink>
    </w:p>
    <w:p w14:paraId="7A37896C" w14:textId="77777777" w:rsidR="008A77D2" w:rsidRPr="008A77D2" w:rsidRDefault="008A77D2" w:rsidP="008A77D2">
      <w:pPr>
        <w:numPr>
          <w:ilvl w:val="0"/>
          <w:numId w:val="14"/>
        </w:numPr>
        <w:ind w:left="1134" w:hanging="440"/>
        <w:rPr>
          <w:rFonts w:ascii="Arial" w:hAnsi="Arial" w:cs="Arial"/>
          <w:sz w:val="24"/>
          <w:szCs w:val="20"/>
        </w:rPr>
      </w:pPr>
      <w:r w:rsidRPr="008A77D2">
        <w:rPr>
          <w:rFonts w:ascii="Arial" w:hAnsi="Arial" w:cs="Arial"/>
          <w:sz w:val="24"/>
          <w:szCs w:val="20"/>
        </w:rPr>
        <w:t xml:space="preserve">Social Services and Well-being (Wales) Act 2014 - </w:t>
      </w:r>
      <w:hyperlink r:id="rId21" w:history="1">
        <w:r w:rsidRPr="008A77D2">
          <w:rPr>
            <w:rStyle w:val="Hyperlink"/>
            <w:rFonts w:ascii="Arial" w:hAnsi="Arial" w:cs="Arial"/>
            <w:sz w:val="24"/>
            <w:szCs w:val="20"/>
          </w:rPr>
          <w:t>http://www.legislation.gov.uk/anaw/2014/4/pdfs/anaw_20140004_en.pdf</w:t>
        </w:r>
      </w:hyperlink>
      <w:r w:rsidRPr="008A77D2">
        <w:rPr>
          <w:rFonts w:ascii="Arial" w:hAnsi="Arial" w:cs="Arial"/>
          <w:sz w:val="24"/>
          <w:szCs w:val="20"/>
        </w:rPr>
        <w:t xml:space="preserve"> </w:t>
      </w:r>
    </w:p>
    <w:p w14:paraId="3F9FE35A" w14:textId="77777777" w:rsidR="008A77D2" w:rsidRPr="008A77D2" w:rsidRDefault="008A77D2" w:rsidP="008A77D2">
      <w:pPr>
        <w:numPr>
          <w:ilvl w:val="0"/>
          <w:numId w:val="14"/>
        </w:numPr>
        <w:ind w:left="1134" w:hanging="440"/>
        <w:rPr>
          <w:rFonts w:ascii="Arial" w:hAnsi="Arial" w:cs="Arial"/>
          <w:sz w:val="24"/>
          <w:szCs w:val="20"/>
        </w:rPr>
      </w:pPr>
      <w:r w:rsidRPr="008A77D2">
        <w:rPr>
          <w:rFonts w:ascii="Arial" w:hAnsi="Arial" w:cs="Arial"/>
          <w:sz w:val="24"/>
          <w:szCs w:val="20"/>
        </w:rPr>
        <w:t>Children’s Act 1989 -</w:t>
      </w:r>
    </w:p>
    <w:p w14:paraId="73E1DBEB" w14:textId="1DA39CC1" w:rsidR="008A77D2" w:rsidRPr="008A77D2" w:rsidRDefault="00F113F1" w:rsidP="008A77D2">
      <w:pPr>
        <w:ind w:left="1134"/>
        <w:rPr>
          <w:rFonts w:ascii="Arial" w:hAnsi="Arial" w:cs="Arial"/>
          <w:sz w:val="24"/>
          <w:szCs w:val="20"/>
        </w:rPr>
      </w:pPr>
      <w:hyperlink r:id="rId22" w:history="1">
        <w:r w:rsidR="008A77D2" w:rsidRPr="008A77D2">
          <w:rPr>
            <w:rStyle w:val="Hyperlink"/>
            <w:rFonts w:ascii="Arial" w:hAnsi="Arial" w:cs="Arial"/>
            <w:sz w:val="24"/>
            <w:szCs w:val="20"/>
          </w:rPr>
          <w:t>https://www.legislation.gov.uk/ukpga/1989/41/contents</w:t>
        </w:r>
      </w:hyperlink>
      <w:r w:rsidR="008A77D2" w:rsidRPr="008A77D2">
        <w:rPr>
          <w:rFonts w:ascii="Arial" w:hAnsi="Arial" w:cs="Arial"/>
          <w:sz w:val="24"/>
          <w:szCs w:val="20"/>
        </w:rPr>
        <w:t xml:space="preserve"> </w:t>
      </w:r>
    </w:p>
    <w:p w14:paraId="3ABEB99D" w14:textId="77777777" w:rsidR="008A77D2" w:rsidRPr="008A77D2" w:rsidRDefault="008A77D2" w:rsidP="008A77D2">
      <w:pPr>
        <w:numPr>
          <w:ilvl w:val="0"/>
          <w:numId w:val="14"/>
        </w:numPr>
        <w:ind w:left="1134" w:hanging="440"/>
        <w:rPr>
          <w:rFonts w:ascii="Arial" w:hAnsi="Arial" w:cs="Arial"/>
          <w:sz w:val="24"/>
          <w:szCs w:val="20"/>
        </w:rPr>
      </w:pPr>
      <w:r w:rsidRPr="008A77D2">
        <w:rPr>
          <w:rFonts w:ascii="Arial" w:hAnsi="Arial" w:cs="Arial"/>
          <w:sz w:val="24"/>
          <w:szCs w:val="20"/>
        </w:rPr>
        <w:t>Ombudsmen Section 117 – Guidance for Practitioners April 2022</w:t>
      </w:r>
    </w:p>
    <w:p w14:paraId="41E37D99" w14:textId="77777777" w:rsidR="008A77D2" w:rsidRPr="008A77D2" w:rsidRDefault="00F113F1" w:rsidP="008A77D2">
      <w:pPr>
        <w:numPr>
          <w:ilvl w:val="0"/>
          <w:numId w:val="14"/>
        </w:numPr>
        <w:ind w:left="1134" w:hanging="440"/>
        <w:rPr>
          <w:rFonts w:ascii="Arial" w:hAnsi="Arial" w:cs="Arial"/>
          <w:sz w:val="24"/>
          <w:szCs w:val="20"/>
        </w:rPr>
      </w:pPr>
      <w:hyperlink r:id="rId23" w:history="1">
        <w:r w:rsidR="008A77D2" w:rsidRPr="008A77D2">
          <w:rPr>
            <w:rStyle w:val="Hyperlink"/>
            <w:rFonts w:ascii="Arial" w:hAnsi="Arial" w:cs="Arial"/>
            <w:sz w:val="24"/>
            <w:szCs w:val="20"/>
          </w:rPr>
          <w:t>https://www.lgo.org.uk/information-centre/news/2022/apr/ombudsmen-release-joint-guidance-to-tackle-common-mistakes-in-aftercare-of-mental-health-in-patients</w:t>
        </w:r>
      </w:hyperlink>
      <w:r w:rsidR="008A77D2" w:rsidRPr="008A77D2">
        <w:rPr>
          <w:rFonts w:ascii="Arial" w:hAnsi="Arial" w:cs="Arial"/>
          <w:sz w:val="24"/>
          <w:szCs w:val="20"/>
        </w:rPr>
        <w:t xml:space="preserve"> </w:t>
      </w:r>
    </w:p>
    <w:p w14:paraId="3E27306C" w14:textId="4A876E95" w:rsidR="00FE57FC" w:rsidRPr="00A3478E" w:rsidRDefault="00A3478E" w:rsidP="00A3478E">
      <w:pPr>
        <w:pStyle w:val="Heading1"/>
        <w:rPr>
          <w:rFonts w:ascii="Arial" w:hAnsi="Arial" w:cs="Arial"/>
          <w:b/>
          <w:bCs/>
          <w:sz w:val="28"/>
          <w:szCs w:val="28"/>
        </w:rPr>
      </w:pPr>
      <w:bookmarkStart w:id="19" w:name="_Toc134786640"/>
      <w:r w:rsidRPr="00A3478E">
        <w:rPr>
          <w:rFonts w:ascii="Arial" w:hAnsi="Arial" w:cs="Arial"/>
          <w:b/>
          <w:bCs/>
          <w:sz w:val="28"/>
          <w:szCs w:val="28"/>
        </w:rPr>
        <w:t>19.</w:t>
      </w:r>
      <w:r w:rsidRPr="00A3478E">
        <w:rPr>
          <w:rFonts w:ascii="Arial" w:hAnsi="Arial" w:cs="Arial"/>
          <w:b/>
          <w:bCs/>
          <w:sz w:val="28"/>
          <w:szCs w:val="28"/>
        </w:rPr>
        <w:tab/>
        <w:t>Appendices</w:t>
      </w:r>
      <w:bookmarkEnd w:id="19"/>
    </w:p>
    <w:p w14:paraId="584825F0" w14:textId="77777777" w:rsidR="00A3478E" w:rsidRDefault="00A3478E" w:rsidP="007D4EC8">
      <w:pPr>
        <w:rPr>
          <w:rFonts w:ascii="Arial" w:hAnsi="Arial" w:cs="Arial"/>
          <w:sz w:val="24"/>
          <w:szCs w:val="20"/>
        </w:rPr>
      </w:pPr>
    </w:p>
    <w:tbl>
      <w:tblPr>
        <w:tblStyle w:val="TableGrid"/>
        <w:tblW w:w="0" w:type="auto"/>
        <w:tblLook w:val="04A0" w:firstRow="1" w:lastRow="0" w:firstColumn="1" w:lastColumn="0" w:noHBand="0" w:noVBand="1"/>
      </w:tblPr>
      <w:tblGrid>
        <w:gridCol w:w="2263"/>
        <w:gridCol w:w="2552"/>
        <w:gridCol w:w="2410"/>
      </w:tblGrid>
      <w:tr w:rsidR="002A34F5" w:rsidRPr="00B318C8" w14:paraId="64A941DE" w14:textId="1E5CE9C1" w:rsidTr="00A86900">
        <w:tc>
          <w:tcPr>
            <w:tcW w:w="2263" w:type="dxa"/>
          </w:tcPr>
          <w:p w14:paraId="38FC9731" w14:textId="77777777" w:rsidR="002A34F5" w:rsidRPr="00B318C8" w:rsidRDefault="002A34F5" w:rsidP="00B318C8">
            <w:pPr>
              <w:spacing w:after="160" w:line="259" w:lineRule="auto"/>
              <w:rPr>
                <w:rFonts w:ascii="Arial" w:hAnsi="Arial" w:cs="Arial"/>
                <w:b/>
                <w:bCs/>
                <w:sz w:val="24"/>
                <w:szCs w:val="20"/>
              </w:rPr>
            </w:pPr>
          </w:p>
          <w:p w14:paraId="4D40F350" w14:textId="77777777" w:rsidR="002A34F5" w:rsidRPr="00B318C8" w:rsidRDefault="002A34F5" w:rsidP="00B318C8">
            <w:pPr>
              <w:spacing w:after="160" w:line="259" w:lineRule="auto"/>
              <w:rPr>
                <w:rFonts w:ascii="Arial" w:hAnsi="Arial" w:cs="Arial"/>
                <w:b/>
                <w:bCs/>
                <w:sz w:val="24"/>
                <w:szCs w:val="20"/>
              </w:rPr>
            </w:pPr>
            <w:r w:rsidRPr="00B318C8">
              <w:rPr>
                <w:rFonts w:ascii="Arial" w:hAnsi="Arial" w:cs="Arial"/>
                <w:b/>
                <w:bCs/>
                <w:sz w:val="24"/>
                <w:szCs w:val="20"/>
              </w:rPr>
              <w:t>S117 Registration form</w:t>
            </w:r>
          </w:p>
        </w:tc>
        <w:tc>
          <w:tcPr>
            <w:tcW w:w="2552" w:type="dxa"/>
          </w:tcPr>
          <w:p w14:paraId="0DA0BE99" w14:textId="77777777" w:rsidR="002A34F5" w:rsidRPr="00B318C8" w:rsidRDefault="002A34F5" w:rsidP="00B318C8">
            <w:pPr>
              <w:spacing w:after="160" w:line="259" w:lineRule="auto"/>
              <w:rPr>
                <w:rFonts w:ascii="Arial" w:hAnsi="Arial" w:cs="Arial"/>
                <w:b/>
                <w:bCs/>
                <w:sz w:val="24"/>
                <w:szCs w:val="20"/>
              </w:rPr>
            </w:pPr>
          </w:p>
          <w:p w14:paraId="6ABCB644" w14:textId="77777777" w:rsidR="002A34F5" w:rsidRPr="00B318C8" w:rsidRDefault="002A34F5" w:rsidP="00B318C8">
            <w:pPr>
              <w:spacing w:after="160" w:line="259" w:lineRule="auto"/>
              <w:rPr>
                <w:rFonts w:ascii="Arial" w:hAnsi="Arial" w:cs="Arial"/>
                <w:b/>
                <w:bCs/>
                <w:sz w:val="24"/>
                <w:szCs w:val="20"/>
              </w:rPr>
            </w:pPr>
            <w:r w:rsidRPr="00B318C8">
              <w:rPr>
                <w:rFonts w:ascii="Arial" w:hAnsi="Arial" w:cs="Arial"/>
                <w:b/>
                <w:bCs/>
                <w:sz w:val="24"/>
                <w:szCs w:val="20"/>
              </w:rPr>
              <w:t>Termination of S117 aftercare</w:t>
            </w:r>
          </w:p>
        </w:tc>
        <w:tc>
          <w:tcPr>
            <w:tcW w:w="2410" w:type="dxa"/>
          </w:tcPr>
          <w:p w14:paraId="18E2E1EC" w14:textId="77777777" w:rsidR="002A34F5" w:rsidRPr="007757CB" w:rsidRDefault="002A34F5" w:rsidP="00B318C8">
            <w:pPr>
              <w:rPr>
                <w:rFonts w:ascii="Arial" w:hAnsi="Arial" w:cs="Arial"/>
                <w:b/>
                <w:bCs/>
                <w:sz w:val="24"/>
                <w:szCs w:val="20"/>
              </w:rPr>
            </w:pPr>
          </w:p>
          <w:p w14:paraId="0AD196F1" w14:textId="77777777" w:rsidR="007415E5" w:rsidRPr="007757CB" w:rsidRDefault="007415E5" w:rsidP="00B318C8">
            <w:pPr>
              <w:rPr>
                <w:rFonts w:ascii="Arial" w:hAnsi="Arial" w:cs="Arial"/>
                <w:b/>
                <w:bCs/>
                <w:sz w:val="24"/>
                <w:szCs w:val="20"/>
              </w:rPr>
            </w:pPr>
          </w:p>
          <w:p w14:paraId="6D8060E9" w14:textId="59B25436" w:rsidR="007415E5" w:rsidRPr="007757CB" w:rsidRDefault="007415E5" w:rsidP="00B318C8">
            <w:pPr>
              <w:rPr>
                <w:rFonts w:ascii="Arial" w:hAnsi="Arial" w:cs="Arial"/>
                <w:b/>
                <w:bCs/>
                <w:sz w:val="24"/>
                <w:szCs w:val="20"/>
              </w:rPr>
            </w:pPr>
            <w:r w:rsidRPr="007757CB">
              <w:rPr>
                <w:rFonts w:ascii="Arial" w:hAnsi="Arial" w:cs="Arial"/>
                <w:b/>
                <w:bCs/>
                <w:sz w:val="24"/>
                <w:szCs w:val="20"/>
              </w:rPr>
              <w:t>Equality Impact</w:t>
            </w:r>
            <w:r w:rsidR="007757CB" w:rsidRPr="007757CB">
              <w:rPr>
                <w:rFonts w:ascii="Arial" w:hAnsi="Arial" w:cs="Arial"/>
                <w:b/>
                <w:bCs/>
                <w:sz w:val="24"/>
                <w:szCs w:val="20"/>
              </w:rPr>
              <w:t xml:space="preserve"> Assessment</w:t>
            </w:r>
          </w:p>
        </w:tc>
      </w:tr>
      <w:tr w:rsidR="002A34F5" w:rsidRPr="00B318C8" w14:paraId="46E5A207" w14:textId="2A67F746" w:rsidTr="00A86900">
        <w:tc>
          <w:tcPr>
            <w:tcW w:w="2263" w:type="dxa"/>
          </w:tcPr>
          <w:p w14:paraId="4C50C275" w14:textId="77777777" w:rsidR="002A34F5" w:rsidRPr="00B318C8" w:rsidRDefault="002A34F5" w:rsidP="00B318C8">
            <w:pPr>
              <w:spacing w:after="160" w:line="259" w:lineRule="auto"/>
              <w:rPr>
                <w:rFonts w:ascii="Arial" w:hAnsi="Arial" w:cs="Arial"/>
                <w:sz w:val="24"/>
                <w:szCs w:val="20"/>
              </w:rPr>
            </w:pPr>
          </w:p>
          <w:bookmarkStart w:id="20" w:name="_MON_1630235596"/>
          <w:bookmarkEnd w:id="20"/>
          <w:p w14:paraId="5140D00E" w14:textId="77777777" w:rsidR="002A34F5" w:rsidRPr="00B318C8" w:rsidRDefault="002A34F5" w:rsidP="00B318C8">
            <w:pPr>
              <w:spacing w:after="160" w:line="259" w:lineRule="auto"/>
              <w:rPr>
                <w:rFonts w:ascii="Arial" w:hAnsi="Arial" w:cs="Arial"/>
                <w:sz w:val="24"/>
                <w:szCs w:val="20"/>
              </w:rPr>
            </w:pPr>
            <w:r w:rsidRPr="00B318C8">
              <w:rPr>
                <w:rFonts w:ascii="Arial" w:hAnsi="Arial" w:cs="Arial"/>
                <w:sz w:val="24"/>
                <w:szCs w:val="20"/>
              </w:rPr>
              <w:object w:dxaOrig="1534" w:dyaOrig="993" w14:anchorId="7AD1BE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24" o:title=""/>
                </v:shape>
                <o:OLEObject Type="Embed" ProgID="Word.Document.12" ShapeID="_x0000_i1025" DrawAspect="Icon" ObjectID="_1763989041" r:id="rId25">
                  <o:FieldCodes>\s</o:FieldCodes>
                </o:OLEObject>
              </w:object>
            </w:r>
          </w:p>
        </w:tc>
        <w:tc>
          <w:tcPr>
            <w:tcW w:w="2552" w:type="dxa"/>
            <w:tcBorders>
              <w:bottom w:val="single" w:sz="4" w:space="0" w:color="auto"/>
            </w:tcBorders>
          </w:tcPr>
          <w:p w14:paraId="3E7A82DA" w14:textId="77777777" w:rsidR="002A34F5" w:rsidRPr="00B318C8" w:rsidRDefault="002A34F5" w:rsidP="00B318C8">
            <w:pPr>
              <w:spacing w:after="160" w:line="259" w:lineRule="auto"/>
              <w:rPr>
                <w:rFonts w:ascii="Arial" w:hAnsi="Arial" w:cs="Arial"/>
                <w:sz w:val="24"/>
                <w:szCs w:val="20"/>
              </w:rPr>
            </w:pPr>
          </w:p>
          <w:bookmarkStart w:id="21" w:name="_MON_1630235516"/>
          <w:bookmarkEnd w:id="21"/>
          <w:p w14:paraId="7CFAAFE5" w14:textId="77777777" w:rsidR="002A34F5" w:rsidRPr="00B318C8" w:rsidRDefault="002A34F5" w:rsidP="00B318C8">
            <w:pPr>
              <w:spacing w:after="160" w:line="259" w:lineRule="auto"/>
              <w:rPr>
                <w:rFonts w:ascii="Arial" w:hAnsi="Arial" w:cs="Arial"/>
                <w:sz w:val="24"/>
                <w:szCs w:val="20"/>
              </w:rPr>
            </w:pPr>
            <w:r w:rsidRPr="00B318C8">
              <w:rPr>
                <w:rFonts w:ascii="Arial" w:hAnsi="Arial" w:cs="Arial"/>
                <w:sz w:val="24"/>
                <w:szCs w:val="20"/>
              </w:rPr>
              <w:object w:dxaOrig="1933" w:dyaOrig="1251" w14:anchorId="5B7F6CC3">
                <v:shape id="_x0000_i1026" type="#_x0000_t75" style="width:96.75pt;height:61.5pt" o:ole="">
                  <v:imagedata r:id="rId26" o:title=""/>
                </v:shape>
                <o:OLEObject Type="Embed" ProgID="Word.Document.12" ShapeID="_x0000_i1026" DrawAspect="Icon" ObjectID="_1763989042" r:id="rId27">
                  <o:FieldCodes>\s</o:FieldCodes>
                </o:OLEObject>
              </w:object>
            </w:r>
          </w:p>
          <w:p w14:paraId="383AE811" w14:textId="77777777" w:rsidR="002A34F5" w:rsidRPr="00B318C8" w:rsidRDefault="002A34F5" w:rsidP="00B318C8">
            <w:pPr>
              <w:spacing w:after="160" w:line="259" w:lineRule="auto"/>
              <w:rPr>
                <w:rFonts w:ascii="Arial" w:hAnsi="Arial" w:cs="Arial"/>
                <w:sz w:val="24"/>
                <w:szCs w:val="20"/>
              </w:rPr>
            </w:pPr>
          </w:p>
        </w:tc>
        <w:tc>
          <w:tcPr>
            <w:tcW w:w="2410" w:type="dxa"/>
            <w:tcBorders>
              <w:bottom w:val="single" w:sz="4" w:space="0" w:color="auto"/>
            </w:tcBorders>
          </w:tcPr>
          <w:p w14:paraId="19E38B1F" w14:textId="77777777" w:rsidR="002A34F5" w:rsidRDefault="002A34F5" w:rsidP="00B318C8">
            <w:pPr>
              <w:rPr>
                <w:rFonts w:ascii="Arial" w:hAnsi="Arial" w:cs="Arial"/>
                <w:sz w:val="24"/>
                <w:szCs w:val="20"/>
              </w:rPr>
            </w:pPr>
          </w:p>
          <w:p w14:paraId="7185F066" w14:textId="246C08F7" w:rsidR="00A62D2F" w:rsidRPr="00A62D2F" w:rsidRDefault="00A62D2F" w:rsidP="00A62D2F">
            <w:pPr>
              <w:rPr>
                <w:rFonts w:ascii="Arial" w:hAnsi="Arial" w:cs="Arial"/>
                <w:sz w:val="24"/>
                <w:szCs w:val="20"/>
              </w:rPr>
            </w:pPr>
            <w:r>
              <w:rPr>
                <w:rFonts w:ascii="Arial" w:hAnsi="Arial" w:cs="Arial"/>
                <w:sz w:val="24"/>
                <w:szCs w:val="20"/>
              </w:rPr>
              <w:t>*</w:t>
            </w:r>
            <w:r w:rsidRPr="00A62D2F">
              <w:rPr>
                <w:rFonts w:ascii="Arial" w:hAnsi="Arial" w:cs="Arial"/>
                <w:sz w:val="24"/>
                <w:szCs w:val="20"/>
              </w:rPr>
              <w:t>To be added when policy approved *</w:t>
            </w:r>
          </w:p>
        </w:tc>
      </w:tr>
    </w:tbl>
    <w:p w14:paraId="5D6EB2E4" w14:textId="77777777" w:rsidR="00B318C8" w:rsidRDefault="00B318C8" w:rsidP="007D4EC8">
      <w:pPr>
        <w:rPr>
          <w:rFonts w:ascii="Arial" w:hAnsi="Arial" w:cs="Arial"/>
          <w:sz w:val="24"/>
          <w:szCs w:val="20"/>
        </w:rPr>
      </w:pPr>
    </w:p>
    <w:p w14:paraId="5FF5216D" w14:textId="6B9DDDAB" w:rsidR="00CA7C08" w:rsidRPr="00CA7C08" w:rsidRDefault="00CA7C08" w:rsidP="00CA7C08">
      <w:pPr>
        <w:rPr>
          <w:rFonts w:ascii="Verdana" w:hAnsi="Verdana"/>
          <w:b/>
          <w:bCs/>
          <w:sz w:val="24"/>
        </w:rPr>
      </w:pPr>
    </w:p>
    <w:sectPr w:rsidR="00CA7C08" w:rsidRPr="00CA7C08" w:rsidSect="00CF2F7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29D7C" w14:textId="77777777" w:rsidR="006F505B" w:rsidRDefault="006F505B" w:rsidP="00CA7C08">
      <w:pPr>
        <w:spacing w:after="0" w:line="240" w:lineRule="auto"/>
      </w:pPr>
      <w:r>
        <w:separator/>
      </w:r>
    </w:p>
  </w:endnote>
  <w:endnote w:type="continuationSeparator" w:id="0">
    <w:p w14:paraId="4BC78E7E" w14:textId="77777777" w:rsidR="006F505B" w:rsidRDefault="006F505B" w:rsidP="00CA7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DA6F" w14:textId="77777777" w:rsidR="00CA7C08" w:rsidRPr="00CA7C08" w:rsidRDefault="00CA7C08" w:rsidP="00CA7C08">
    <w:pPr>
      <w:tabs>
        <w:tab w:val="center" w:pos="4513"/>
        <w:tab w:val="right" w:pos="9026"/>
      </w:tabs>
      <w:spacing w:after="0" w:line="240" w:lineRule="auto"/>
      <w:rPr>
        <w:rFonts w:ascii="Verdana" w:hAnsi="Verdana"/>
        <w:sz w:val="20"/>
      </w:rPr>
    </w:pPr>
    <w:r w:rsidRPr="00CA7C08">
      <w:rPr>
        <w:rFonts w:ascii="Verdana" w:hAnsi="Verdana"/>
        <w:sz w:val="20"/>
      </w:rPr>
      <w:t xml:space="preserve">Ref: </w:t>
    </w:r>
  </w:p>
  <w:p w14:paraId="6CE17C1C" w14:textId="77777777" w:rsidR="00CA7C08" w:rsidRPr="00CA7C08" w:rsidRDefault="00CA7C08" w:rsidP="00CA7C08">
    <w:pPr>
      <w:tabs>
        <w:tab w:val="center" w:pos="4513"/>
        <w:tab w:val="right" w:pos="9026"/>
      </w:tabs>
      <w:spacing w:after="0" w:line="240" w:lineRule="auto"/>
      <w:rPr>
        <w:rFonts w:ascii="Verdana" w:hAnsi="Verdana"/>
        <w:sz w:val="20"/>
      </w:rPr>
    </w:pPr>
    <w:r w:rsidRPr="00CA7C08">
      <w:rPr>
        <w:rFonts w:ascii="Verdana" w:hAnsi="Verdana"/>
        <w:sz w:val="20"/>
      </w:rPr>
      <w:t xml:space="preserve">Policy Title: </w:t>
    </w:r>
  </w:p>
  <w:p w14:paraId="21632952" w14:textId="478B4A79" w:rsidR="00CA7C08" w:rsidRPr="00CA7C08" w:rsidRDefault="00CA7C08" w:rsidP="00CA7C08">
    <w:pPr>
      <w:tabs>
        <w:tab w:val="center" w:pos="4513"/>
        <w:tab w:val="right" w:pos="9026"/>
      </w:tabs>
      <w:spacing w:after="0" w:line="240" w:lineRule="auto"/>
      <w:rPr>
        <w:rFonts w:ascii="Verdana" w:hAnsi="Verdana"/>
        <w:sz w:val="20"/>
      </w:rPr>
    </w:pPr>
    <w:r w:rsidRPr="00CA7C08">
      <w:rPr>
        <w:rFonts w:ascii="Verdana" w:hAnsi="Verdana"/>
        <w:sz w:val="20"/>
      </w:rPr>
      <w:t xml:space="preserve">Page Number: </w:t>
    </w:r>
    <w:r w:rsidRPr="00CA7C08">
      <w:rPr>
        <w:rFonts w:ascii="Verdana" w:hAnsi="Verdana"/>
        <w:sz w:val="20"/>
      </w:rPr>
      <w:fldChar w:fldCharType="begin"/>
    </w:r>
    <w:r w:rsidRPr="00CA7C08">
      <w:rPr>
        <w:rFonts w:ascii="Verdana" w:hAnsi="Verdana"/>
        <w:sz w:val="20"/>
      </w:rPr>
      <w:instrText xml:space="preserve"> PAGE   \* MERGEFORMAT </w:instrText>
    </w:r>
    <w:r w:rsidRPr="00CA7C08">
      <w:rPr>
        <w:rFonts w:ascii="Verdana" w:hAnsi="Verdana"/>
        <w:sz w:val="20"/>
      </w:rPr>
      <w:fldChar w:fldCharType="separate"/>
    </w:r>
    <w:r w:rsidR="00BF68A8">
      <w:rPr>
        <w:rFonts w:ascii="Verdana" w:hAnsi="Verdana"/>
        <w:noProof/>
        <w:sz w:val="20"/>
      </w:rPr>
      <w:t>1</w:t>
    </w:r>
    <w:r w:rsidRPr="00CA7C08">
      <w:rPr>
        <w:rFonts w:ascii="Verdana" w:hAnsi="Verdana"/>
        <w:noProof/>
        <w:sz w:val="20"/>
      </w:rPr>
      <w:fldChar w:fldCharType="end"/>
    </w:r>
  </w:p>
  <w:p w14:paraId="7434FF09" w14:textId="77777777" w:rsidR="00CA7C08" w:rsidRDefault="00CA7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067D1" w14:textId="77777777" w:rsidR="006F505B" w:rsidRDefault="006F505B" w:rsidP="00CA7C08">
      <w:pPr>
        <w:spacing w:after="0" w:line="240" w:lineRule="auto"/>
      </w:pPr>
      <w:r>
        <w:separator/>
      </w:r>
    </w:p>
  </w:footnote>
  <w:footnote w:type="continuationSeparator" w:id="0">
    <w:p w14:paraId="2F5DE07B" w14:textId="77777777" w:rsidR="006F505B" w:rsidRDefault="006F505B" w:rsidP="00CA7C08">
      <w:pPr>
        <w:spacing w:after="0" w:line="240" w:lineRule="auto"/>
      </w:pPr>
      <w:r>
        <w:continuationSeparator/>
      </w:r>
    </w:p>
  </w:footnote>
  <w:footnote w:id="1">
    <w:p w14:paraId="40F62A95" w14:textId="77777777" w:rsidR="0013264C" w:rsidRPr="00A8452F" w:rsidRDefault="0013264C" w:rsidP="0013264C">
      <w:pPr>
        <w:pStyle w:val="FootnoteText"/>
        <w:rPr>
          <w:rFonts w:ascii="Verdana" w:hAnsi="Verdana"/>
          <w:sz w:val="18"/>
          <w:szCs w:val="18"/>
          <w:lang w:val="en-GB"/>
        </w:rPr>
      </w:pPr>
      <w:r w:rsidRPr="00A8452F">
        <w:rPr>
          <w:rStyle w:val="FootnoteReference"/>
          <w:rFonts w:ascii="Verdana" w:hAnsi="Verdana"/>
        </w:rPr>
        <w:footnoteRef/>
      </w:r>
      <w:r w:rsidRPr="00A8452F">
        <w:rPr>
          <w:rFonts w:ascii="Verdana" w:hAnsi="Verdana"/>
          <w:sz w:val="18"/>
          <w:szCs w:val="18"/>
        </w:rPr>
        <w:t xml:space="preserve"> </w:t>
      </w:r>
      <w:r w:rsidRPr="00A8452F">
        <w:rPr>
          <w:rFonts w:ascii="Verdana" w:hAnsi="Verdana"/>
          <w:sz w:val="18"/>
          <w:szCs w:val="18"/>
          <w:lang w:val="en-GB"/>
        </w:rPr>
        <w:t xml:space="preserve">Welsh Government, Law Wales Helping you understand Welsh Law, </w:t>
      </w:r>
      <w:r w:rsidRPr="00A8452F">
        <w:rPr>
          <w:rFonts w:ascii="Verdana" w:hAnsi="Verdana"/>
          <w:i/>
          <w:sz w:val="18"/>
          <w:szCs w:val="18"/>
          <w:lang w:val="en-GB"/>
        </w:rPr>
        <w:t>Ordinary Residence</w:t>
      </w:r>
      <w:r w:rsidRPr="00A8452F">
        <w:rPr>
          <w:rFonts w:ascii="Verdana" w:hAnsi="Verdana"/>
          <w:sz w:val="18"/>
          <w:szCs w:val="18"/>
          <w:lang w:val="en-GB"/>
        </w:rPr>
        <w:t xml:space="preserve"> </w:t>
      </w:r>
    </w:p>
    <w:p w14:paraId="3ECC5AB0" w14:textId="77777777" w:rsidR="0013264C" w:rsidRPr="00A17411" w:rsidRDefault="0013264C" w:rsidP="0013264C">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02A7" w14:textId="77777777" w:rsidR="00CA7C08" w:rsidRDefault="00CA7C08" w:rsidP="00CA7C08">
    <w:pPr>
      <w:pStyle w:val="Header"/>
      <w:jc w:val="center"/>
    </w:pPr>
    <w:r w:rsidRPr="00C85C8C">
      <w:rPr>
        <w:rFonts w:ascii="Verdana" w:hAnsi="Verdana"/>
        <w:noProof/>
        <w:lang w:eastAsia="en-GB"/>
      </w:rPr>
      <w:drawing>
        <wp:inline distT="0" distB="0" distL="0" distR="0" wp14:anchorId="0C84D489" wp14:editId="5EDA45B0">
          <wp:extent cx="2609850" cy="743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TM_Logo.png"/>
                  <pic:cNvPicPr/>
                </pic:nvPicPr>
                <pic:blipFill>
                  <a:blip r:embed="rId1">
                    <a:extLst>
                      <a:ext uri="{28A0092B-C50C-407E-A947-70E740481C1C}">
                        <a14:useLocalDpi xmlns:a14="http://schemas.microsoft.com/office/drawing/2010/main" val="0"/>
                      </a:ext>
                    </a:extLst>
                  </a:blip>
                  <a:stretch>
                    <a:fillRect/>
                  </a:stretch>
                </pic:blipFill>
                <pic:spPr>
                  <a:xfrm>
                    <a:off x="0" y="0"/>
                    <a:ext cx="2704967" cy="7701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5765A"/>
    <w:multiLevelType w:val="hybridMultilevel"/>
    <w:tmpl w:val="DD72E4F8"/>
    <w:lvl w:ilvl="0" w:tplc="08090001">
      <w:start w:val="1"/>
      <w:numFmt w:val="bullet"/>
      <w:lvlText w:val=""/>
      <w:lvlJc w:val="left"/>
      <w:pPr>
        <w:ind w:left="1716" w:hanging="360"/>
      </w:pPr>
      <w:rPr>
        <w:rFonts w:ascii="Symbol" w:hAnsi="Symbol" w:hint="default"/>
      </w:rPr>
    </w:lvl>
    <w:lvl w:ilvl="1" w:tplc="08090003" w:tentative="1">
      <w:start w:val="1"/>
      <w:numFmt w:val="bullet"/>
      <w:lvlText w:val="o"/>
      <w:lvlJc w:val="left"/>
      <w:pPr>
        <w:ind w:left="2436" w:hanging="360"/>
      </w:pPr>
      <w:rPr>
        <w:rFonts w:ascii="Courier New" w:hAnsi="Courier New" w:cs="Courier New" w:hint="default"/>
      </w:rPr>
    </w:lvl>
    <w:lvl w:ilvl="2" w:tplc="08090005" w:tentative="1">
      <w:start w:val="1"/>
      <w:numFmt w:val="bullet"/>
      <w:lvlText w:val=""/>
      <w:lvlJc w:val="left"/>
      <w:pPr>
        <w:ind w:left="3156" w:hanging="360"/>
      </w:pPr>
      <w:rPr>
        <w:rFonts w:ascii="Wingdings" w:hAnsi="Wingdings" w:hint="default"/>
      </w:rPr>
    </w:lvl>
    <w:lvl w:ilvl="3" w:tplc="08090001" w:tentative="1">
      <w:start w:val="1"/>
      <w:numFmt w:val="bullet"/>
      <w:lvlText w:val=""/>
      <w:lvlJc w:val="left"/>
      <w:pPr>
        <w:ind w:left="3876" w:hanging="360"/>
      </w:pPr>
      <w:rPr>
        <w:rFonts w:ascii="Symbol" w:hAnsi="Symbol" w:hint="default"/>
      </w:rPr>
    </w:lvl>
    <w:lvl w:ilvl="4" w:tplc="08090003" w:tentative="1">
      <w:start w:val="1"/>
      <w:numFmt w:val="bullet"/>
      <w:lvlText w:val="o"/>
      <w:lvlJc w:val="left"/>
      <w:pPr>
        <w:ind w:left="4596" w:hanging="360"/>
      </w:pPr>
      <w:rPr>
        <w:rFonts w:ascii="Courier New" w:hAnsi="Courier New" w:cs="Courier New" w:hint="default"/>
      </w:rPr>
    </w:lvl>
    <w:lvl w:ilvl="5" w:tplc="08090005" w:tentative="1">
      <w:start w:val="1"/>
      <w:numFmt w:val="bullet"/>
      <w:lvlText w:val=""/>
      <w:lvlJc w:val="left"/>
      <w:pPr>
        <w:ind w:left="5316" w:hanging="360"/>
      </w:pPr>
      <w:rPr>
        <w:rFonts w:ascii="Wingdings" w:hAnsi="Wingdings" w:hint="default"/>
      </w:rPr>
    </w:lvl>
    <w:lvl w:ilvl="6" w:tplc="08090001" w:tentative="1">
      <w:start w:val="1"/>
      <w:numFmt w:val="bullet"/>
      <w:lvlText w:val=""/>
      <w:lvlJc w:val="left"/>
      <w:pPr>
        <w:ind w:left="6036" w:hanging="360"/>
      </w:pPr>
      <w:rPr>
        <w:rFonts w:ascii="Symbol" w:hAnsi="Symbol" w:hint="default"/>
      </w:rPr>
    </w:lvl>
    <w:lvl w:ilvl="7" w:tplc="08090003" w:tentative="1">
      <w:start w:val="1"/>
      <w:numFmt w:val="bullet"/>
      <w:lvlText w:val="o"/>
      <w:lvlJc w:val="left"/>
      <w:pPr>
        <w:ind w:left="6756" w:hanging="360"/>
      </w:pPr>
      <w:rPr>
        <w:rFonts w:ascii="Courier New" w:hAnsi="Courier New" w:cs="Courier New" w:hint="default"/>
      </w:rPr>
    </w:lvl>
    <w:lvl w:ilvl="8" w:tplc="08090005" w:tentative="1">
      <w:start w:val="1"/>
      <w:numFmt w:val="bullet"/>
      <w:lvlText w:val=""/>
      <w:lvlJc w:val="left"/>
      <w:pPr>
        <w:ind w:left="7476" w:hanging="360"/>
      </w:pPr>
      <w:rPr>
        <w:rFonts w:ascii="Wingdings" w:hAnsi="Wingdings" w:hint="default"/>
      </w:rPr>
    </w:lvl>
  </w:abstractNum>
  <w:abstractNum w:abstractNumId="1" w15:restartNumberingAfterBreak="0">
    <w:nsid w:val="1889724C"/>
    <w:multiLevelType w:val="hybridMultilevel"/>
    <w:tmpl w:val="E9BA14F8"/>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CD54582"/>
    <w:multiLevelType w:val="hybridMultilevel"/>
    <w:tmpl w:val="AF1AFF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3E37AA3"/>
    <w:multiLevelType w:val="hybridMultilevel"/>
    <w:tmpl w:val="83CE018C"/>
    <w:lvl w:ilvl="0" w:tplc="7220D276">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 w15:restartNumberingAfterBreak="0">
    <w:nsid w:val="25531741"/>
    <w:multiLevelType w:val="hybridMultilevel"/>
    <w:tmpl w:val="03308CE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0D04541"/>
    <w:multiLevelType w:val="multilevel"/>
    <w:tmpl w:val="C220F4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2826A59"/>
    <w:multiLevelType w:val="multilevel"/>
    <w:tmpl w:val="1220DBAC"/>
    <w:lvl w:ilvl="0">
      <w:start w:val="1"/>
      <w:numFmt w:val="decimal"/>
      <w:lvlText w:val="%1."/>
      <w:lvlJc w:val="left"/>
      <w:pPr>
        <w:ind w:left="360" w:hanging="360"/>
      </w:pPr>
    </w:lvl>
    <w:lvl w:ilvl="1">
      <w:start w:val="1"/>
      <w:numFmt w:val="decimal"/>
      <w:isLgl/>
      <w:lvlText w:val="%1.%2"/>
      <w:lvlJc w:val="left"/>
      <w:pPr>
        <w:ind w:left="720" w:hanging="720"/>
      </w:pPr>
      <w:rPr>
        <w:rFonts w:ascii="Verdana" w:hAnsi="Verdana"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7" w15:restartNumberingAfterBreak="0">
    <w:nsid w:val="32B0394D"/>
    <w:multiLevelType w:val="hybridMultilevel"/>
    <w:tmpl w:val="8486A7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2C97853"/>
    <w:multiLevelType w:val="hybridMultilevel"/>
    <w:tmpl w:val="5606A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0A4BFC"/>
    <w:multiLevelType w:val="multilevel"/>
    <w:tmpl w:val="1B62C378"/>
    <w:lvl w:ilvl="0">
      <w:start w:val="8"/>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46E45529"/>
    <w:multiLevelType w:val="hybridMultilevel"/>
    <w:tmpl w:val="A19C5E0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65664EA2"/>
    <w:multiLevelType w:val="hybridMultilevel"/>
    <w:tmpl w:val="9F922B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677A765D"/>
    <w:multiLevelType w:val="multilevel"/>
    <w:tmpl w:val="1292E648"/>
    <w:lvl w:ilvl="0">
      <w:start w:val="1"/>
      <w:numFmt w:val="decimal"/>
      <w:lvlText w:val="%1."/>
      <w:lvlJc w:val="left"/>
      <w:pPr>
        <w:ind w:left="720" w:hanging="360"/>
      </w:pPr>
      <w:rPr>
        <w:rFonts w:hint="default"/>
      </w:rPr>
    </w:lvl>
    <w:lvl w:ilvl="1">
      <w:start w:val="4"/>
      <w:numFmt w:val="decimal"/>
      <w:isLgl/>
      <w:lvlText w:val="%1.%2"/>
      <w:lvlJc w:val="left"/>
      <w:pPr>
        <w:ind w:left="143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3" w15:restartNumberingAfterBreak="0">
    <w:nsid w:val="67D23B3E"/>
    <w:multiLevelType w:val="multilevel"/>
    <w:tmpl w:val="A23A13D0"/>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5040"/>
        </w:tabs>
        <w:ind w:left="5040" w:hanging="2160"/>
      </w:pPr>
      <w:rPr>
        <w:rFonts w:cs="Times New Roman" w:hint="default"/>
      </w:rPr>
    </w:lvl>
  </w:abstractNum>
  <w:num w:numId="1">
    <w:abstractNumId w:val="6"/>
  </w:num>
  <w:num w:numId="2">
    <w:abstractNumId w:val="13"/>
  </w:num>
  <w:num w:numId="3">
    <w:abstractNumId w:val="8"/>
  </w:num>
  <w:num w:numId="4">
    <w:abstractNumId w:val="5"/>
  </w:num>
  <w:num w:numId="5">
    <w:abstractNumId w:val="1"/>
  </w:num>
  <w:num w:numId="6">
    <w:abstractNumId w:val="12"/>
  </w:num>
  <w:num w:numId="7">
    <w:abstractNumId w:val="4"/>
  </w:num>
  <w:num w:numId="8">
    <w:abstractNumId w:val="9"/>
  </w:num>
  <w:num w:numId="9">
    <w:abstractNumId w:val="10"/>
  </w:num>
  <w:num w:numId="10">
    <w:abstractNumId w:val="7"/>
  </w:num>
  <w:num w:numId="11">
    <w:abstractNumId w:val="2"/>
  </w:num>
  <w:num w:numId="12">
    <w:abstractNumId w:val="11"/>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F7"/>
    <w:rsid w:val="00011CC3"/>
    <w:rsid w:val="00024255"/>
    <w:rsid w:val="00026436"/>
    <w:rsid w:val="00046635"/>
    <w:rsid w:val="000573AA"/>
    <w:rsid w:val="000B2FF1"/>
    <w:rsid w:val="000C2988"/>
    <w:rsid w:val="000D2F72"/>
    <w:rsid w:val="000E17AE"/>
    <w:rsid w:val="000E7952"/>
    <w:rsid w:val="00132399"/>
    <w:rsid w:val="0013264C"/>
    <w:rsid w:val="001372C2"/>
    <w:rsid w:val="00144842"/>
    <w:rsid w:val="00144E50"/>
    <w:rsid w:val="00153670"/>
    <w:rsid w:val="00157F13"/>
    <w:rsid w:val="001B0809"/>
    <w:rsid w:val="001C251D"/>
    <w:rsid w:val="001D1ED8"/>
    <w:rsid w:val="001D41D3"/>
    <w:rsid w:val="001F03E1"/>
    <w:rsid w:val="002004DA"/>
    <w:rsid w:val="002156F2"/>
    <w:rsid w:val="002158FD"/>
    <w:rsid w:val="00224498"/>
    <w:rsid w:val="002478B9"/>
    <w:rsid w:val="002502A1"/>
    <w:rsid w:val="0025273E"/>
    <w:rsid w:val="00274505"/>
    <w:rsid w:val="00276808"/>
    <w:rsid w:val="002A34F5"/>
    <w:rsid w:val="002A6413"/>
    <w:rsid w:val="002F0693"/>
    <w:rsid w:val="003170E9"/>
    <w:rsid w:val="003214AF"/>
    <w:rsid w:val="00347D23"/>
    <w:rsid w:val="00361402"/>
    <w:rsid w:val="003807E5"/>
    <w:rsid w:val="0038397A"/>
    <w:rsid w:val="00392111"/>
    <w:rsid w:val="003B1180"/>
    <w:rsid w:val="003B1AEB"/>
    <w:rsid w:val="003B65BC"/>
    <w:rsid w:val="003C12F7"/>
    <w:rsid w:val="003C598F"/>
    <w:rsid w:val="003D4291"/>
    <w:rsid w:val="003D5571"/>
    <w:rsid w:val="003D7A87"/>
    <w:rsid w:val="003F7088"/>
    <w:rsid w:val="0041297C"/>
    <w:rsid w:val="00413418"/>
    <w:rsid w:val="004213B1"/>
    <w:rsid w:val="00423118"/>
    <w:rsid w:val="00437AEE"/>
    <w:rsid w:val="00444A56"/>
    <w:rsid w:val="00451950"/>
    <w:rsid w:val="00452210"/>
    <w:rsid w:val="00454363"/>
    <w:rsid w:val="004721FE"/>
    <w:rsid w:val="004766DE"/>
    <w:rsid w:val="00480726"/>
    <w:rsid w:val="004A06AB"/>
    <w:rsid w:val="004A5E81"/>
    <w:rsid w:val="004B3122"/>
    <w:rsid w:val="004B4BD8"/>
    <w:rsid w:val="004C496D"/>
    <w:rsid w:val="004D0CBD"/>
    <w:rsid w:val="004D1F12"/>
    <w:rsid w:val="004E57C8"/>
    <w:rsid w:val="005151D2"/>
    <w:rsid w:val="00550CA5"/>
    <w:rsid w:val="00551932"/>
    <w:rsid w:val="0055289E"/>
    <w:rsid w:val="005578DF"/>
    <w:rsid w:val="00574CEE"/>
    <w:rsid w:val="005833C2"/>
    <w:rsid w:val="00592BDF"/>
    <w:rsid w:val="005C50C3"/>
    <w:rsid w:val="005D2163"/>
    <w:rsid w:val="005D5FC3"/>
    <w:rsid w:val="00606E2B"/>
    <w:rsid w:val="006430D3"/>
    <w:rsid w:val="00656E60"/>
    <w:rsid w:val="006777DB"/>
    <w:rsid w:val="006A3570"/>
    <w:rsid w:val="006E07C8"/>
    <w:rsid w:val="006E389A"/>
    <w:rsid w:val="006E68E1"/>
    <w:rsid w:val="006F3BFD"/>
    <w:rsid w:val="006F505B"/>
    <w:rsid w:val="0072434A"/>
    <w:rsid w:val="007415E5"/>
    <w:rsid w:val="0074668F"/>
    <w:rsid w:val="00751C90"/>
    <w:rsid w:val="00754190"/>
    <w:rsid w:val="007757CB"/>
    <w:rsid w:val="007930E6"/>
    <w:rsid w:val="007A2E07"/>
    <w:rsid w:val="007B5BE9"/>
    <w:rsid w:val="007D4EC8"/>
    <w:rsid w:val="007E0244"/>
    <w:rsid w:val="007F3CA3"/>
    <w:rsid w:val="007F5152"/>
    <w:rsid w:val="00800ECF"/>
    <w:rsid w:val="008055B1"/>
    <w:rsid w:val="00811788"/>
    <w:rsid w:val="00815A8D"/>
    <w:rsid w:val="00824C85"/>
    <w:rsid w:val="00824D89"/>
    <w:rsid w:val="00831415"/>
    <w:rsid w:val="00831736"/>
    <w:rsid w:val="0083558F"/>
    <w:rsid w:val="00836770"/>
    <w:rsid w:val="00842065"/>
    <w:rsid w:val="008540B4"/>
    <w:rsid w:val="00860825"/>
    <w:rsid w:val="00864E9B"/>
    <w:rsid w:val="008703C2"/>
    <w:rsid w:val="00882264"/>
    <w:rsid w:val="008841AE"/>
    <w:rsid w:val="00885DFA"/>
    <w:rsid w:val="00886170"/>
    <w:rsid w:val="00896189"/>
    <w:rsid w:val="008A77D2"/>
    <w:rsid w:val="008B32B6"/>
    <w:rsid w:val="008E60D5"/>
    <w:rsid w:val="008E6EF6"/>
    <w:rsid w:val="00902E56"/>
    <w:rsid w:val="00902EFB"/>
    <w:rsid w:val="00903CEB"/>
    <w:rsid w:val="00912D7F"/>
    <w:rsid w:val="00916647"/>
    <w:rsid w:val="00981138"/>
    <w:rsid w:val="009931EF"/>
    <w:rsid w:val="00997DA2"/>
    <w:rsid w:val="009B6132"/>
    <w:rsid w:val="009C0B42"/>
    <w:rsid w:val="009C46E7"/>
    <w:rsid w:val="009D21C1"/>
    <w:rsid w:val="009E5D32"/>
    <w:rsid w:val="009E72B4"/>
    <w:rsid w:val="00A17513"/>
    <w:rsid w:val="00A3478E"/>
    <w:rsid w:val="00A62D2F"/>
    <w:rsid w:val="00A86900"/>
    <w:rsid w:val="00A86FB6"/>
    <w:rsid w:val="00AD2CF4"/>
    <w:rsid w:val="00AD7269"/>
    <w:rsid w:val="00AE1D91"/>
    <w:rsid w:val="00AF3136"/>
    <w:rsid w:val="00AF3616"/>
    <w:rsid w:val="00AF44AB"/>
    <w:rsid w:val="00B13A0A"/>
    <w:rsid w:val="00B251BC"/>
    <w:rsid w:val="00B318C8"/>
    <w:rsid w:val="00B33106"/>
    <w:rsid w:val="00B446B6"/>
    <w:rsid w:val="00B76502"/>
    <w:rsid w:val="00B94BE2"/>
    <w:rsid w:val="00B95D00"/>
    <w:rsid w:val="00BA6A3F"/>
    <w:rsid w:val="00BF1887"/>
    <w:rsid w:val="00BF502B"/>
    <w:rsid w:val="00BF68A8"/>
    <w:rsid w:val="00C16185"/>
    <w:rsid w:val="00C46946"/>
    <w:rsid w:val="00C730C7"/>
    <w:rsid w:val="00C903B0"/>
    <w:rsid w:val="00CA3B80"/>
    <w:rsid w:val="00CA7C08"/>
    <w:rsid w:val="00CF1601"/>
    <w:rsid w:val="00CF2F77"/>
    <w:rsid w:val="00D07A02"/>
    <w:rsid w:val="00D07B83"/>
    <w:rsid w:val="00D11307"/>
    <w:rsid w:val="00D65B30"/>
    <w:rsid w:val="00D76999"/>
    <w:rsid w:val="00D868B8"/>
    <w:rsid w:val="00D86F27"/>
    <w:rsid w:val="00DD0AC8"/>
    <w:rsid w:val="00E003B3"/>
    <w:rsid w:val="00E05A16"/>
    <w:rsid w:val="00E10208"/>
    <w:rsid w:val="00E446BE"/>
    <w:rsid w:val="00E477AA"/>
    <w:rsid w:val="00E8695E"/>
    <w:rsid w:val="00EA61A4"/>
    <w:rsid w:val="00EB27A7"/>
    <w:rsid w:val="00EC08B6"/>
    <w:rsid w:val="00EF0B5E"/>
    <w:rsid w:val="00EF1720"/>
    <w:rsid w:val="00F013D6"/>
    <w:rsid w:val="00F06CA1"/>
    <w:rsid w:val="00F113F1"/>
    <w:rsid w:val="00F16498"/>
    <w:rsid w:val="00F23F2C"/>
    <w:rsid w:val="00F258C3"/>
    <w:rsid w:val="00F42BA8"/>
    <w:rsid w:val="00F47EAB"/>
    <w:rsid w:val="00F53595"/>
    <w:rsid w:val="00F66B10"/>
    <w:rsid w:val="00F8501A"/>
    <w:rsid w:val="00FA3833"/>
    <w:rsid w:val="00FD1F3D"/>
    <w:rsid w:val="00FD6FF4"/>
    <w:rsid w:val="00FD7E93"/>
    <w:rsid w:val="00FE5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8A4AEF"/>
  <w15:chartTrackingRefBased/>
  <w15:docId w15:val="{84352ECD-A0A4-4939-87E1-F946171A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152"/>
  </w:style>
  <w:style w:type="paragraph" w:styleId="Heading1">
    <w:name w:val="heading 1"/>
    <w:basedOn w:val="Normal"/>
    <w:next w:val="Normal"/>
    <w:link w:val="Heading1Char"/>
    <w:uiPriority w:val="9"/>
    <w:qFormat/>
    <w:rsid w:val="002F06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A7C08"/>
    <w:pPr>
      <w:tabs>
        <w:tab w:val="center" w:pos="4513"/>
        <w:tab w:val="right" w:pos="9026"/>
      </w:tabs>
      <w:spacing w:after="0" w:line="240" w:lineRule="auto"/>
    </w:pPr>
  </w:style>
  <w:style w:type="character" w:customStyle="1" w:styleId="HeaderChar">
    <w:name w:val="Header Char"/>
    <w:basedOn w:val="DefaultParagraphFont"/>
    <w:link w:val="Header"/>
    <w:rsid w:val="00CA7C08"/>
  </w:style>
  <w:style w:type="paragraph" w:styleId="Footer">
    <w:name w:val="footer"/>
    <w:basedOn w:val="Normal"/>
    <w:link w:val="FooterChar"/>
    <w:uiPriority w:val="99"/>
    <w:unhideWhenUsed/>
    <w:rsid w:val="00CA7C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C08"/>
  </w:style>
  <w:style w:type="table" w:styleId="TableGrid">
    <w:name w:val="Table Grid"/>
    <w:basedOn w:val="TableNormal"/>
    <w:uiPriority w:val="39"/>
    <w:rsid w:val="00CA7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7C08"/>
    <w:rPr>
      <w:color w:val="0563C1" w:themeColor="hyperlink"/>
      <w:u w:val="single"/>
    </w:rPr>
  </w:style>
  <w:style w:type="paragraph" w:styleId="NoSpacing">
    <w:name w:val="No Spacing"/>
    <w:uiPriority w:val="1"/>
    <w:qFormat/>
    <w:rsid w:val="00CA7C08"/>
    <w:pPr>
      <w:spacing w:after="0" w:line="240" w:lineRule="auto"/>
    </w:pPr>
  </w:style>
  <w:style w:type="character" w:styleId="PlaceholderText">
    <w:name w:val="Placeholder Text"/>
    <w:basedOn w:val="DefaultParagraphFont"/>
    <w:uiPriority w:val="99"/>
    <w:semiHidden/>
    <w:rsid w:val="00CA7C08"/>
    <w:rPr>
      <w:color w:val="808080"/>
    </w:rPr>
  </w:style>
  <w:style w:type="paragraph" w:styleId="ListParagraph">
    <w:name w:val="List Paragraph"/>
    <w:basedOn w:val="Normal"/>
    <w:uiPriority w:val="1"/>
    <w:qFormat/>
    <w:rsid w:val="00CA7C08"/>
    <w:pPr>
      <w:ind w:left="720"/>
      <w:contextualSpacing/>
    </w:pPr>
  </w:style>
  <w:style w:type="character" w:styleId="CommentReference">
    <w:name w:val="annotation reference"/>
    <w:basedOn w:val="DefaultParagraphFont"/>
    <w:uiPriority w:val="99"/>
    <w:semiHidden/>
    <w:unhideWhenUsed/>
    <w:rsid w:val="003C12F7"/>
    <w:rPr>
      <w:sz w:val="16"/>
      <w:szCs w:val="16"/>
    </w:rPr>
  </w:style>
  <w:style w:type="paragraph" w:styleId="CommentText">
    <w:name w:val="annotation text"/>
    <w:basedOn w:val="Normal"/>
    <w:link w:val="CommentTextChar"/>
    <w:uiPriority w:val="99"/>
    <w:semiHidden/>
    <w:unhideWhenUsed/>
    <w:rsid w:val="003C12F7"/>
    <w:pPr>
      <w:spacing w:line="240" w:lineRule="auto"/>
    </w:pPr>
    <w:rPr>
      <w:sz w:val="20"/>
      <w:szCs w:val="20"/>
    </w:rPr>
  </w:style>
  <w:style w:type="character" w:customStyle="1" w:styleId="CommentTextChar">
    <w:name w:val="Comment Text Char"/>
    <w:basedOn w:val="DefaultParagraphFont"/>
    <w:link w:val="CommentText"/>
    <w:uiPriority w:val="99"/>
    <w:semiHidden/>
    <w:rsid w:val="003C12F7"/>
    <w:rPr>
      <w:sz w:val="20"/>
      <w:szCs w:val="20"/>
    </w:rPr>
  </w:style>
  <w:style w:type="paragraph" w:styleId="CommentSubject">
    <w:name w:val="annotation subject"/>
    <w:basedOn w:val="CommentText"/>
    <w:next w:val="CommentText"/>
    <w:link w:val="CommentSubjectChar"/>
    <w:uiPriority w:val="99"/>
    <w:semiHidden/>
    <w:unhideWhenUsed/>
    <w:rsid w:val="003C12F7"/>
    <w:rPr>
      <w:b/>
      <w:bCs/>
    </w:rPr>
  </w:style>
  <w:style w:type="character" w:customStyle="1" w:styleId="CommentSubjectChar">
    <w:name w:val="Comment Subject Char"/>
    <w:basedOn w:val="CommentTextChar"/>
    <w:link w:val="CommentSubject"/>
    <w:uiPriority w:val="99"/>
    <w:semiHidden/>
    <w:rsid w:val="003C12F7"/>
    <w:rPr>
      <w:b/>
      <w:bCs/>
      <w:sz w:val="20"/>
      <w:szCs w:val="20"/>
    </w:rPr>
  </w:style>
  <w:style w:type="paragraph" w:styleId="BalloonText">
    <w:name w:val="Balloon Text"/>
    <w:basedOn w:val="Normal"/>
    <w:link w:val="BalloonTextChar"/>
    <w:uiPriority w:val="99"/>
    <w:semiHidden/>
    <w:unhideWhenUsed/>
    <w:rsid w:val="003C1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2F7"/>
    <w:rPr>
      <w:rFonts w:ascii="Segoe UI" w:hAnsi="Segoe UI" w:cs="Segoe UI"/>
      <w:sz w:val="18"/>
      <w:szCs w:val="18"/>
    </w:rPr>
  </w:style>
  <w:style w:type="character" w:styleId="FollowedHyperlink">
    <w:name w:val="FollowedHyperlink"/>
    <w:basedOn w:val="DefaultParagraphFont"/>
    <w:uiPriority w:val="99"/>
    <w:semiHidden/>
    <w:unhideWhenUsed/>
    <w:rsid w:val="008E6EF6"/>
    <w:rPr>
      <w:color w:val="954F72" w:themeColor="followedHyperlink"/>
      <w:u w:val="single"/>
    </w:rPr>
  </w:style>
  <w:style w:type="character" w:customStyle="1" w:styleId="Heading1Char">
    <w:name w:val="Heading 1 Char"/>
    <w:basedOn w:val="DefaultParagraphFont"/>
    <w:link w:val="Heading1"/>
    <w:uiPriority w:val="9"/>
    <w:rsid w:val="002F069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F0693"/>
    <w:pPr>
      <w:outlineLvl w:val="9"/>
    </w:pPr>
    <w:rPr>
      <w:lang w:eastAsia="en-GB"/>
    </w:rPr>
  </w:style>
  <w:style w:type="paragraph" w:styleId="TOC1">
    <w:name w:val="toc 1"/>
    <w:basedOn w:val="Normal"/>
    <w:next w:val="Normal"/>
    <w:autoRedefine/>
    <w:uiPriority w:val="39"/>
    <w:unhideWhenUsed/>
    <w:rsid w:val="00AF3616"/>
    <w:pPr>
      <w:spacing w:after="100"/>
    </w:pPr>
  </w:style>
  <w:style w:type="character" w:styleId="UnresolvedMention">
    <w:name w:val="Unresolved Mention"/>
    <w:basedOn w:val="DefaultParagraphFont"/>
    <w:uiPriority w:val="99"/>
    <w:semiHidden/>
    <w:unhideWhenUsed/>
    <w:rsid w:val="004C496D"/>
    <w:rPr>
      <w:color w:val="605E5C"/>
      <w:shd w:val="clear" w:color="auto" w:fill="E1DFDD"/>
    </w:rPr>
  </w:style>
  <w:style w:type="paragraph" w:styleId="FootnoteText">
    <w:name w:val="footnote text"/>
    <w:basedOn w:val="Normal"/>
    <w:link w:val="FootnoteTextChar"/>
    <w:uiPriority w:val="99"/>
    <w:rsid w:val="008055B1"/>
    <w:pPr>
      <w:spacing w:after="0" w:line="240" w:lineRule="auto"/>
    </w:pPr>
    <w:rPr>
      <w:rFonts w:ascii="Cambria" w:eastAsia="Times New Roman" w:hAnsi="Cambria" w:cs="Times New Roman"/>
      <w:sz w:val="20"/>
      <w:szCs w:val="20"/>
      <w:lang w:val="x-none" w:eastAsia="x-none"/>
    </w:rPr>
  </w:style>
  <w:style w:type="character" w:customStyle="1" w:styleId="FootnoteTextChar">
    <w:name w:val="Footnote Text Char"/>
    <w:basedOn w:val="DefaultParagraphFont"/>
    <w:link w:val="FootnoteText"/>
    <w:uiPriority w:val="99"/>
    <w:rsid w:val="008055B1"/>
    <w:rPr>
      <w:rFonts w:ascii="Cambria" w:eastAsia="Times New Roman" w:hAnsi="Cambria" w:cs="Times New Roman"/>
      <w:sz w:val="20"/>
      <w:szCs w:val="20"/>
      <w:lang w:val="x-none" w:eastAsia="x-none"/>
    </w:rPr>
  </w:style>
  <w:style w:type="character" w:styleId="FootnoteReference">
    <w:name w:val="footnote reference"/>
    <w:rsid w:val="008055B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legislation.gov.uk/ukpga/1998/42/contents" TargetMode="Externa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http://www.legislation.gov.uk/anaw/2014/4/pdfs/anaw_20140004_en.pdf" TargetMode="External"/><Relationship Id="rId7" Type="http://schemas.openxmlformats.org/officeDocument/2006/relationships/settings" Target="settings.xml"/><Relationship Id="rId12" Type="http://schemas.openxmlformats.org/officeDocument/2006/relationships/hyperlink" Target="mailto:CTM_Corporate_Governance@wales.nhs.uk" TargetMode="External"/><Relationship Id="rId17" Type="http://schemas.openxmlformats.org/officeDocument/2006/relationships/hyperlink" Target="http://www.legislation.gov.uk/ukpga/2005/9/schedule/7" TargetMode="External"/><Relationship Id="rId25"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hyperlink" Target="http://www.legislation.gov.uk/ukpga/1983/20/contents" TargetMode="External"/><Relationship Id="rId20" Type="http://schemas.openxmlformats.org/officeDocument/2006/relationships/hyperlink" Target="https://www.legislation.gov.uk/wsi/2008/2439/contents/mad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hyperlink" Target="https://scanmail.trustwave.com/?c=261&amp;d=nL-X4wZQ7O18a2ucHOtdxKIn_osCdeuIjI2Rj86nIQ&amp;u=https%3a%2f%2fgov%2ewales%2fsites%2fdefault%2ffiles%2fpublications%2f2022-03%2fpart-4-and-5-code-of-practice-charging-and-financial-assessment%5f0%2epdf" TargetMode="External"/><Relationship Id="rId23" Type="http://schemas.openxmlformats.org/officeDocument/2006/relationships/hyperlink" Target="https://www.lgo.org.uk/information-centre/news/2022/apr/ombudsmen-release-joint-guidance-to-tackle-common-mistakes-in-aftercare-of-mental-health-in-patient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uk/mwa/2010/7/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legislation.gov.uk/ukpga/1989/41/contents" TargetMode="External"/><Relationship Id="rId27" Type="http://schemas.openxmlformats.org/officeDocument/2006/relationships/package" Target="embeddings/Microsoft_Word_Document1.docx"/><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3DED56FA44474C8D618BB6E94D2B71"/>
        <w:category>
          <w:name w:val="General"/>
          <w:gallery w:val="placeholder"/>
        </w:category>
        <w:types>
          <w:type w:val="bbPlcHdr"/>
        </w:types>
        <w:behaviors>
          <w:behavior w:val="content"/>
        </w:behaviors>
        <w:guid w:val="{9BAE79C2-F384-48A2-9F0E-EFC11EA03E00}"/>
      </w:docPartPr>
      <w:docPartBody>
        <w:p w:rsidR="006A0B33" w:rsidRDefault="0061769F" w:rsidP="0061769F">
          <w:pPr>
            <w:pStyle w:val="B63DED56FA44474C8D618BB6E94D2B712"/>
          </w:pPr>
          <w:r w:rsidRPr="00CA7C08">
            <w:rPr>
              <w:rStyle w:val="PlaceholderText"/>
              <w:rFonts w:ascii="Verdana" w:hAnsi="Verdana"/>
            </w:rPr>
            <w:t>Choose an item.</w:t>
          </w:r>
        </w:p>
      </w:docPartBody>
    </w:docPart>
    <w:docPart>
      <w:docPartPr>
        <w:name w:val="5414DA04B821463F8EA2F69D69A87E4F"/>
        <w:category>
          <w:name w:val="General"/>
          <w:gallery w:val="placeholder"/>
        </w:category>
        <w:types>
          <w:type w:val="bbPlcHdr"/>
        </w:types>
        <w:behaviors>
          <w:behavior w:val="content"/>
        </w:behaviors>
        <w:guid w:val="{08B46349-1C42-4B4A-8B04-D8569E451BC2}"/>
      </w:docPartPr>
      <w:docPartBody>
        <w:p w:rsidR="006A0B33" w:rsidRDefault="0061769F" w:rsidP="0061769F">
          <w:pPr>
            <w:pStyle w:val="5414DA04B821463F8EA2F69D69A87E4F2"/>
          </w:pPr>
          <w:r w:rsidRPr="00CA7C08">
            <w:rPr>
              <w:rStyle w:val="PlaceholderText"/>
              <w:rFonts w:ascii="Verdana" w:hAnsi="Verdana"/>
            </w:rPr>
            <w:t>Choose an item.</w:t>
          </w:r>
        </w:p>
      </w:docPartBody>
    </w:docPart>
    <w:docPart>
      <w:docPartPr>
        <w:name w:val="DefaultPlaceholder_1081868575"/>
        <w:category>
          <w:name w:val="General"/>
          <w:gallery w:val="placeholder"/>
        </w:category>
        <w:types>
          <w:type w:val="bbPlcHdr"/>
        </w:types>
        <w:behaviors>
          <w:behavior w:val="content"/>
        </w:behaviors>
        <w:guid w:val="{9FB09E4E-1EE6-4509-AF2C-EA1A219398CF}"/>
      </w:docPartPr>
      <w:docPartBody>
        <w:p w:rsidR="003650D0" w:rsidRDefault="0061769F">
          <w:r w:rsidRPr="007D3A7C">
            <w:rPr>
              <w:rStyle w:val="PlaceholderText"/>
            </w:rPr>
            <w:t>Choose an item.</w:t>
          </w:r>
        </w:p>
      </w:docPartBody>
    </w:docPart>
    <w:docPart>
      <w:docPartPr>
        <w:name w:val="C1EB571504C846E399EFB7583B4A4DEF"/>
        <w:category>
          <w:name w:val="General"/>
          <w:gallery w:val="placeholder"/>
        </w:category>
        <w:types>
          <w:type w:val="bbPlcHdr"/>
        </w:types>
        <w:behaviors>
          <w:behavior w:val="content"/>
        </w:behaviors>
        <w:guid w:val="{14700F43-944A-4567-9095-056DB0B28F92}"/>
      </w:docPartPr>
      <w:docPartBody>
        <w:p w:rsidR="003650D0" w:rsidRDefault="0061769F" w:rsidP="0061769F">
          <w:pPr>
            <w:pStyle w:val="C1EB571504C846E399EFB7583B4A4DEF"/>
          </w:pPr>
          <w:r w:rsidRPr="00D86F27">
            <w:rPr>
              <w:rStyle w:val="PlaceholderText"/>
              <w:rFonts w:ascii="Verdana" w:hAnsi="Verdana"/>
            </w:rPr>
            <w:t>Choose an item.</w:t>
          </w:r>
        </w:p>
      </w:docPartBody>
    </w:docPart>
    <w:docPart>
      <w:docPartPr>
        <w:name w:val="00C928375EDA4AC18AE418B8B6F234BF"/>
        <w:category>
          <w:name w:val="General"/>
          <w:gallery w:val="placeholder"/>
        </w:category>
        <w:types>
          <w:type w:val="bbPlcHdr"/>
        </w:types>
        <w:behaviors>
          <w:behavior w:val="content"/>
        </w:behaviors>
        <w:guid w:val="{F41EF967-E794-4A3C-8699-2848CC8B518A}"/>
      </w:docPartPr>
      <w:docPartBody>
        <w:p w:rsidR="003650D0" w:rsidRDefault="0061769F" w:rsidP="0061769F">
          <w:pPr>
            <w:pStyle w:val="00C928375EDA4AC18AE418B8B6F234BF"/>
          </w:pPr>
          <w:r w:rsidRPr="007D3A7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062"/>
    <w:rsid w:val="00183B09"/>
    <w:rsid w:val="003650D0"/>
    <w:rsid w:val="0061769F"/>
    <w:rsid w:val="006A0B33"/>
    <w:rsid w:val="006E5535"/>
    <w:rsid w:val="00BE6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769F"/>
    <w:rPr>
      <w:color w:val="808080"/>
    </w:rPr>
  </w:style>
  <w:style w:type="paragraph" w:customStyle="1" w:styleId="C1EB571504C846E399EFB7583B4A4DEF">
    <w:name w:val="C1EB571504C846E399EFB7583B4A4DEF"/>
    <w:rsid w:val="0061769F"/>
    <w:rPr>
      <w:rFonts w:eastAsiaTheme="minorHAnsi"/>
      <w:lang w:eastAsia="en-US"/>
    </w:rPr>
  </w:style>
  <w:style w:type="paragraph" w:customStyle="1" w:styleId="00C928375EDA4AC18AE418B8B6F234BF">
    <w:name w:val="00C928375EDA4AC18AE418B8B6F234BF"/>
    <w:rsid w:val="0061769F"/>
    <w:rPr>
      <w:rFonts w:eastAsiaTheme="minorHAnsi"/>
      <w:lang w:eastAsia="en-US"/>
    </w:rPr>
  </w:style>
  <w:style w:type="paragraph" w:customStyle="1" w:styleId="5414DA04B821463F8EA2F69D69A87E4F2">
    <w:name w:val="5414DA04B821463F8EA2F69D69A87E4F2"/>
    <w:rsid w:val="0061769F"/>
    <w:rPr>
      <w:rFonts w:eastAsiaTheme="minorHAnsi"/>
      <w:lang w:eastAsia="en-US"/>
    </w:rPr>
  </w:style>
  <w:style w:type="paragraph" w:customStyle="1" w:styleId="B63DED56FA44474C8D618BB6E94D2B712">
    <w:name w:val="B63DED56FA44474C8D618BB6E94D2B712"/>
    <w:rsid w:val="0061769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5DB707CF4D784A95E1E8D6D709DC73" ma:contentTypeVersion="0" ma:contentTypeDescription="Create a new document." ma:contentTypeScope="" ma:versionID="63a3eac660a8a3549362a40a73572a38">
  <xsd:schema xmlns:xsd="http://www.w3.org/2001/XMLSchema" xmlns:xs="http://www.w3.org/2001/XMLSchema" xmlns:p="http://schemas.microsoft.com/office/2006/metadata/properties" targetNamespace="http://schemas.microsoft.com/office/2006/metadata/properties" ma:root="true" ma:fieldsID="8395cc7fb871ba0b823971be877f6d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41764B-68B0-4D40-938D-00E5CF4C0B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80FB2B-407F-42B9-B89B-A7B93E8873EB}">
  <ds:schemaRefs>
    <ds:schemaRef ds:uri="http://schemas.microsoft.com/sharepoint/v3/contenttype/forms"/>
  </ds:schemaRefs>
</ds:datastoreItem>
</file>

<file path=customXml/itemProps3.xml><?xml version="1.0" encoding="utf-8"?>
<ds:datastoreItem xmlns:ds="http://schemas.openxmlformats.org/officeDocument/2006/customXml" ds:itemID="{BF1EADE1-B3A3-489E-A05C-534A62D17A7D}">
  <ds:schemaRefs>
    <ds:schemaRef ds:uri="http://schemas.openxmlformats.org/officeDocument/2006/bibliography"/>
  </ds:schemaRefs>
</ds:datastoreItem>
</file>

<file path=customXml/itemProps4.xml><?xml version="1.0" encoding="utf-8"?>
<ds:datastoreItem xmlns:ds="http://schemas.openxmlformats.org/officeDocument/2006/customXml" ds:itemID="{0845BB49-64B0-4BB9-924C-C370C140B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4584</Words>
  <Characters>26129</Characters>
  <Application>Microsoft Office Word</Application>
  <DocSecurity>4</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ngt_citrixprovision</dc:creator>
  <cp:keywords/>
  <dc:description/>
  <cp:lastModifiedBy>Robert Richards (CTM UHB - Mental Health, Merthyr/Cynon )</cp:lastModifiedBy>
  <cp:revision>2</cp:revision>
  <dcterms:created xsi:type="dcterms:W3CDTF">2023-12-13T16:10:00Z</dcterms:created>
  <dcterms:modified xsi:type="dcterms:W3CDTF">2023-12-13T16:10:00Z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0x010100345DB707CF4D784A95E1E8D6D709DC73</vt:lpwstr>
  </property>
</Properties>
</file>